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7"/>
        <w:pBdr/>
        <w:spacing/>
        <w:ind w:right="0" w:firstLine="0" w:left="623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Додаток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7"/>
        <w:pBdr/>
        <w:spacing/>
        <w:ind w:right="0" w:firstLine="0" w:left="623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 рішення 69 сесії 8 скликання 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7"/>
        <w:pBdr/>
        <w:spacing/>
        <w:ind w:right="0" w:firstLine="0" w:left="623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Менської міської ради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7"/>
        <w:pBdr/>
        <w:spacing/>
        <w:ind w:right="0" w:firstLine="0" w:left="623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28 січня 2026 року № 02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5953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566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Звіт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роботу генерального директора Комунального некомерційного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підприємства «Менська міська лікарня» Менської міської ради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Г.І. Разнована про роботу за 2025 рік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Комунальне некомерційне підприємство «Менська міська лікарня»  входить до спроможної мережі медичних закладів Чернігівської області як загальний заклад охорони здоров'я. Лікарня надає медичні послуги в стаціонарних та амбулаторних умовах зі спеціалізованої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медичної допомоги, паліативної допомоги та медичної реабілітації.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Амбулаторно-поліклінічна допомога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В поліклінічному відділенні закладу амбулаторна медична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допомога надається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за 17 лікарськими спеціальностями 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2025 рік до лікарів клінічного профілю  поліклінічного відділення було 54059 звернень пацієнтів, до лікарів- стоматологів– 14628 звернень пацієнтів  У 2024 році - 57858 звернень пацієнтів до лікарів клінічного профілю, та  16218 звернень пацієнтів до лі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карів-стоматологів. Незначне зменшення числа звернень до лікарів поліклінічного відділення обумовлене продовженням оптимізації роботи структурного підрозділу та долученням фахівців відділення до роботи за іншими, більш часозатратними  напрямами роботи (</w:t>
      </w:r>
      <w:r>
        <w:rPr>
          <w:rFonts w:ascii="Times New Roman" w:hAnsi="Times New Roman" w:eastAsia="Times New Roman" w:cs="Times New Roman"/>
          <w:color w:val="0a0a0a"/>
          <w:sz w:val="28"/>
          <w:highlight w:val="white"/>
        </w:rPr>
        <w:t xml:space="preserve">оформлення пакету документів для направлення через електронну систему в рамках оцінювання повсякденного функціонування, робота за 67 пакетом тощо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Серед амбулаторно пролікованих у 2025 році пацієнтів закладу – 147 внутрішньо переміщених осіб.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1433 амбулаторних пацієнта у 2025 році були прооперовані (у 2024році - 1362 амбулаторних пацієнта).</w:t>
      </w:r>
      <w:r/>
    </w:p>
    <w:tbl>
      <w:tblPr>
        <w:tblStyle w:val="915"/>
        <w:tblW w:w="0" w:type="auto"/>
        <w:tblInd w:w="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53"/>
        <w:gridCol w:w="1529"/>
        <w:gridCol w:w="153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2025р.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2024р.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</w:rPr>
              <w:t xml:space="preserve">Всього операцій: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</w:rPr>
              <w:t xml:space="preserve">1433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</w:rPr>
              <w:t xml:space="preserve">1362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6"/>
              </w:rPr>
              <w:t xml:space="preserve">В т.ч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.операцій на органах зору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224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851" w:left="851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         операції на органах вуха, горла, носа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403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6"/>
              </w:rPr>
              <w:t xml:space="preserve">                з них: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 на вусі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199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709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операції на сечостатевій системі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212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6"/>
              </w:rPr>
              <w:t xml:space="preserve">                з них: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 на жіночих статевих органах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102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        операції на кістково-м’язовій системі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115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        операції на шкірі та підшкірній клітковині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290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         інші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118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Крім того, у 2025році лікарями – стоматологами було проведено 43 амбулаторних операції  ( у 2024 році – 85  амбулаторних операцій)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/>
        <w:ind w:right="0" w:firstLine="567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Стаціонарна медична допомога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/>
        <w:ind w:right="0" w:firstLine="567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КНП «Менська міська лікарня» для надання стаціонарної медичної допомоги розгорнуто 130 ліжок цілодобового стаціонару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 2025 році хворими у цілодобовому стаціонарі проведено 37419 ліжко-днів, план ліжко-днів виконано на 85,8% (у 2023 році – 84,3%).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Робота ліжка</w:t>
      </w:r>
      <w:r>
        <w:rPr>
          <w:rFonts w:ascii="Calibri" w:hAnsi="Calibri" w:eastAsia="Calibri" w:cs="Calibri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1"/>
        <w:gridCol w:w="1303"/>
        <w:gridCol w:w="1375"/>
        <w:gridCol w:w="1050"/>
        <w:gridCol w:w="1417"/>
        <w:gridCol w:w="1061"/>
        <w:gridCol w:w="113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Профіль ліжок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Середнє число днів зайнятості ліжка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89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Середня тривалість перебування хворого на ліжку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Обіг ліжка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46" w:hanging="111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209" w:hanging="141" w:left="-83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219" w:hanging="285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2024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91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Терапевтичні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383,0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409,6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7,3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7,3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53,6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56,5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91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Неврологічні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234,0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266,4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7,2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6,6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33,0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42,3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Хірургічні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326,2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204,7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8,0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7,4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40,9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27,9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Травматологічні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297,4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622,5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8,6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9,3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34,6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68,0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Отоларингологічні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129,0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205,0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5,5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5,4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23,3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36,7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Офтальмологічні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139,0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121,0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5,4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5,2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26,0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22,1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Гінекологічні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121,2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105,8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33,6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22,5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Педіатричні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48,3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143,9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7,4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5,1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6,5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27,5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Інфекційні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289,0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250,8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8,5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7,6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34,6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33,0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Паліативні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400,5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396,4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28,4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28,9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14,3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13,6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77" w:firstLine="32" w:left="-32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Реабілітаційні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300,5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246,7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17,2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18,0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17,6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13,8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hanging="6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Всього по закладу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hanging="27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285,5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hanging="57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287,8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9,1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8,50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31,5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33,6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hanging="6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Всього без ліжок паліативного та реабілітаційного профілю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hanging="27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hanging="57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7,7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7,4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2025 році дещо збільшились терміни перебування хворого на ліжку за рахунок пацієнтів, що лікувались на ліжках хірургічного та неврологічного профілю. Найбільш ефективно у 2025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році працювали ліжка терапевтичного профілю, хірургічного  профілю та паліативні.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Впродовж 2025 року в цілодобовому стаціонарі отримали медичну допомогу 4096 пацієнт, із них – 93 дітей (2,3%), що є нижче  показника  минулого року (у 2024 році було проліковано в цілодобовому стаціонарі 4401 пацієнта, із них -297 дітей (7,4%)). Зменшення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числа пролікованих хворих відбулось за рахунок пацієнтів із гострим мозковим інсультом та дітей, що обумовлено кадровим фактором.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-143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Серед стаціонарно пролікованих хворих у 2025 році найбільшу частку становили пацієнти:</w:t>
      </w:r>
      <w:r/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із хворобами системи кровообігу – 27,3%</w:t>
      </w:r>
      <w:r/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із хворобами кістково-м'язевої системи та сполучної тканини– 12,9%.</w:t>
      </w:r>
      <w:r/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госпіталізовані з приводу травм, отруєнь та деяких інших наслідків дії зовнішніх причин – 12,4%.</w:t>
      </w:r>
      <w:r/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із хворобами органів дихання – 11,1%</w:t>
      </w:r>
      <w:r/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із хворобами нервової системи – 10,9%.</w:t>
      </w:r>
      <w:r/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із хворобами сечостатевої системи – 8,1%,</w:t>
      </w:r>
      <w:r/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із  хворобами органів травлення – 7,4%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-143" w:firstLine="851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Така структура стаціонарно пролікованих хворих обумовлена переліком пакетів, за якими було заключено договір із НСЗУ.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851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-143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Загальне число оперативних втручань в стаціонарі  за 2025 рік  в порівнянні з минулим роком зросло  на  20,5% за рахунок, в першу чергу,  планових хірургічних операцій при незащемленій грижі та хронічному холециститі. В закладі впроваджені лапароскопічні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перації при хронічному холециститі. У 2025 році було проведено 9 таких операцій.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77"/>
        <w:gridCol w:w="1667"/>
        <w:gridCol w:w="170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2024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Всього операцій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885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726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органах вуха, горла, носа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з них: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на вусі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         на мигдалинах та аденоїдах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органах зору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судинах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з них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:  венектомії при варикозному розширенні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органах травлення та черевної порожнини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з них: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 на шлунку з приводу виразкової хвороби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         холецистектомії при хр. холециститах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            в т.ч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лапароскопічні холецистектомії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         на підшлунковій залозі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         з приводу незащемленої грижі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жіночих статевих органах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288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Акушерські операції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з них: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кесарів розтин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         аборти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кістково-м’язовій системі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з них: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 на кістках і суглобах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ампутації кінцівок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 них: при судинних захворюваннях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        цукровому діабеті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шкірі та підшкірній клітковині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286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Інші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Збільшення числа операцій на шкірі та підшкірній клітковині обумовлено збільшенням у двічі кількості військовослужбовців  із пораненнями , що отримали хірургічну допомогу в закладі (2025 рік- 105 осіб,  2024 рік – 52 особи) та активним наданням медичної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слуги  «хірургія 1 дня»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Одним з головних індикаторів якості надання медичної допомоги в стаціонарних відділеннях хірургічного профілю є післяопераційна летальність. Показник післяопераційної летальності  у 2025 році дещо зріс і становить 0,6%. Серед померлих в післяопераційному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еріоді – 1 військовослужбовець із множинним вогнепальним пораненням.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затверджених УОЗ маршрутів пацієнтів в КНП «Менська міська лікарня» надається медична допомога пацієнтам із гострим мозковим інсультом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 2025 році в лікарні було проліковано 149 пацієнтів із гострим мозковим інсультом, 47 із них – жителі інших громад. Лише 40 пацієнтів (26,8%) були госпіталізовані в межах «терапевтичного вікна».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Серед пацієнтів із гострим мозковим інсультом 13,4% складають особи працездатного віку (до 60 років), щорічно цей показник зростає (у 2024 році – 12,3%)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закладі забезпечено невідкладне проведення нейровізуалізації всім пацієнтам з підозрою на гострий мозковий інсульт, анестезіологічний супровід, динамічне спостереження за функцією ковтання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впроваджена тромболітична терапія.   У 2025 році системну тромболітичну терапію отримали 13 пацієнтів із гострим мозковим інсультом ( у 2024 році –33 пацієнти), що становить 8,7% (у 2024 році – 13,1%).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Пацієнти, які є кандидатами для оперативного лікування, після консультації нейрохірургами  переведені до Чернігівської обласної лікарні.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106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106" w:firstLine="709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Медична реабілітація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106" w:firstLine="709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позиції доказового менеджменту</w:t>
      </w:r>
      <w:r>
        <w:rPr>
          <w:rFonts w:ascii="Times New Roman" w:hAnsi="Times New Roman" w:eastAsia="Times New Roman" w:cs="Times New Roman"/>
          <w:color w:val="000000"/>
          <w:sz w:val="21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вагоме значення для забезпечення максимально швидкої адаптації та відновлення соціального функціонування пацієнтів має медична  реабілітація.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 2023 році в  КНП «Менська міська лікарня» відкрито реабілітаційне відділення на 20 ліжок оснащене необхідним обладнанням,   що забезпечило повний спектр допомоги хворим із інвалідизуючими захворюваннями, </w:t>
      </w:r>
      <w:r>
        <w:rPr>
          <w:rFonts w:ascii="Times New Roman" w:hAnsi="Times New Roman" w:eastAsia="Times New Roman" w:cs="Times New Roman"/>
          <w:color w:val="001d35"/>
          <w:sz w:val="28"/>
          <w:highlight w:val="white"/>
        </w:rPr>
        <w:t xml:space="preserve">які призводять до стійкого порушення функцій організму, обмеження життєдіяльності та працездатності.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Реабілітаційні послуги стаціонарного та амбулаторного характеру в КНП «Менська міська лікарня» сконцентровані на наданні реабілітаційної допомоги пацієнтам, що перенести інсульт, важкі травми,  з порушеннями кістково-м’язової системи та із захворюваннями 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ервової системи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8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68"/>
        <w:gridCol w:w="716"/>
        <w:gridCol w:w="926"/>
        <w:gridCol w:w="448"/>
        <w:gridCol w:w="1131"/>
        <w:gridCol w:w="220"/>
        <w:gridCol w:w="1462"/>
        <w:gridCol w:w="7299"/>
        <w:gridCol w:w="2233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Нозологія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Проліковано хворих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Проведено ліжко-днів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Середній термін лікування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Питома вага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Послуги СР-2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2884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2966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49,9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62,4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Травми головного мозку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Ампутації та множинні травми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Гострий мозковий інсульт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95,9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Послуги СР-3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5,5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Ураження нервової системи нетравматичного характеру та післяопераційні стани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Захворювання опорно-рухової с-ми нетравматичного генезу та післяопераційні стани (коксоартроз, гоноартроз)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Ураження травматичного генезу (перелом стегнової кістки)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81,3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Наслідки травм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Послуги СР-4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32,4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20,4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Ураження нервової системи нетравматичного генезу та післяопераційні стани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85,7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Захворювання опорно-рухової системи нетравматичного генезу та післяопераційні стани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Ураження опорно-рухової системи травматичного генезу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12,5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Інші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11,7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Всього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349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274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6010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4902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17,2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17,9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-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2025 році послуги з медичної  реабілітації в реабілітаційному відділенні стаціонарно  отримали 349 пацієнтів , що на 27,3% більше, ніж у минулому році (у 2024 році – 274 пацієнти).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Кожний другий пацієнт відділення отримував реабілітаційну допомогу  високої складності протягом післягострого періоду відповідно до складеного індивідуального реабілітаційного плану (СР-2).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 2025 році послуги з медичної реабілітації  в реабілітаційному відділенні отримали 46 військовослужбовців ЗСУ ( у 2024 році – 25 військовослужбовців).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8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8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Паліативна допомога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8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Зважаючи на складну демографічну ситуацію, негативні демографічні тенденції (постаріння населення, зростання частки осіб із важкими хронічними захворюваннями тощо) в громаді зростає кількість осіб, що потребують паліативної допомоги.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Цей тип медичної допомоги спрямований на покращення якості життя паліативного пацієнта та підтримку членів його родини через запобігання та полегшення страждань термінально хворої людини.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31"/>
        <w:gridCol w:w="870"/>
        <w:gridCol w:w="850"/>
        <w:gridCol w:w="992"/>
        <w:gridCol w:w="992"/>
        <w:gridCol w:w="1134"/>
        <w:gridCol w:w="1134"/>
        <w:gridCol w:w="1248"/>
        <w:gridCol w:w="112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Нозологія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Проліковано хворих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Проведено ліжко-днів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Середній термін лікування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Питома вага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Злоякісні новоутворення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Хвороби ендокринної с-м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Х-би нервової системи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19,7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Х-би системи кровообігу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2768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65,7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Наслідки поліомієліту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ВВС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Розлади психіки та повед.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Інші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4,4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Всього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141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137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3967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4023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28,1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29,4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-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333333"/>
          <w:sz w:val="28"/>
        </w:rPr>
        <w:t xml:space="preserve">У 2025 році в паліативному відділенні отримав медичну допомогу 141 пацієнт, що на 3,5% більше, ніж у минулому році. Серед пацієнтів паліативного відділення зростає частка хворих із злоякісними новоутвореннями та іншими хворобами.</w:t>
        <w:br/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Повноцінна паліативна допомога є єдиним цілим мобільної та стаціонарної допомоги, що дає можливість тримати під контролем соматичний стан паліативного пацієнта, корегувати симптоми хвороби, надавати тривалий час підтримку пацієнту в домашніх ум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овах (що є економічно доцільним), дозволяє надавати допомогу більшій кількості пацієнтів і за потреби здійснювати своєчасну госпіталізацію у стаціонар. Станом на 01.01.2026 року під спостереженням мобільної паліативної бригади закладу перебуває 48 пацієнті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Діяльність діагностичного відділення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КНП «Менська міська лікарня» забезпечена своєчасна та якісна діагностика захворювань. В лікарні широко застосовують рентгенологічні обстеження (в тому числі комп’ютерна томографія з СКВ ангіографією), ультразвукові дослідження включаючи доплерографію, хо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лтерометрія, спірометрія,  езофагогастродуоденоскопія, колоноскопія, кольпоскопія з відеофіксацією, гістероскопія, електрокардіографія тощо. Суттєво збільшилась кількість послуг, які надаються з використанням зазначеного високотехнологічного обладнання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Рентгенологічні дослідження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1702"/>
        <w:gridCol w:w="1504"/>
        <w:gridCol w:w="1533"/>
        <w:gridCol w:w="1482"/>
        <w:gridCol w:w="1533"/>
        <w:gridCol w:w="1828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Усього досліджень</w:t>
            </w:r>
            <w:r>
              <w:rPr>
                <w:sz w:val="20"/>
                <w:szCs w:val="20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(включаючи профілактичні)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В тому числі комп’ютерна томографія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5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Амбулаторні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1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Стаціонарні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6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Усього досліджень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На 100 відвідувань в поліклініці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Усього досліджень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На 1 стаціонарного хворого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2025 рік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16744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2434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13990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2754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0,6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2024 рік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13704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2480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10840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14,6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2864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0,6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 2025 році в порівнянні з минулим роком на 22,2% зросла  кількість  рентгенологічних досліджень, в першу чергу через збільшення  досліджень кістково-суглобової системи, що обумовлено  збільшенням числа пацієнтів, пролікованих з приводу травм у стаціонарі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поліклінічному відділенні Кількість проведених комп’ютерних томографій залишилась на рівні минулого року.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закладі впроваджена і застосовується комп’ютерна томографія з контрастуванням.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Ультразвукові дослідження</w:t>
      </w:r>
      <w:r/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958"/>
        <w:gridCol w:w="683"/>
        <w:gridCol w:w="958"/>
        <w:gridCol w:w="925"/>
        <w:gridCol w:w="959"/>
        <w:gridCol w:w="1134"/>
        <w:gridCol w:w="817"/>
        <w:gridCol w:w="709"/>
        <w:gridCol w:w="675"/>
        <w:gridCol w:w="885"/>
        <w:gridCol w:w="70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1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Проведено УЗ досліджень всього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Проведено досліджень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Ехокардіографії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Доплерівське  дослідження периферичних судин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Щитоподібної залози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Молочної залози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Органів черевної порожнини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Нирки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Сечового міхура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Передміхурової залози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Жіночих статевих органів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Кістково-суглобової системи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12051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9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7124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1646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1405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12276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9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1475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1893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Кількість ультразвукових досліджень у 2025 році залишається   на рівні показника минулого року. В той же час спостерігається зростання кількості ультразвукових досліджень органів черевної порожнини та нирки на фоні зменшення кількості ультразвукових дослід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жень жіночих статевих органів.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Ендоскопічні дослідження</w:t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/>
      <w:r/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36"/>
        <w:gridCol w:w="1615"/>
        <w:gridCol w:w="3485"/>
        <w:gridCol w:w="283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</w:rPr>
              <w:t xml:space="preserve">Усього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</w:rPr>
              <w:t xml:space="preserve">досліджень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</w:rPr>
              <w:t xml:space="preserve">В тому числі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</w:rPr>
            </w:r>
          </w:p>
        </w:tc>
      </w:tr>
      <w:tr>
        <w:trPr>
          <w:trHeight w:val="41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Езофагогастродуоденоскопій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0"/>
              </w:rPr>
              <w:t xml:space="preserve">Колоносковій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1263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1233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1191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38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  2025  році в порівнянні з минулим роком кількість проведених ендоскопічних досліджень зросла на 6%.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Незначне зменшення кількості колоноскопій обумовлене виходом з ладу  ендоскопічного обладнання ( в червні були придбані нові відеофіброгастродуоденоскоп та відеоколоноскоп).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проведенні ендоскопічних досліджень у 13 пацієнтів було вперше виявлено онкопатологію, із них у 11 пацієнтів при проведенні езофагогастродуоденоскопії та у 2 пацієнтів при проведенні колоноскопії.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Calibri" w:hAnsi="Calibri" w:eastAsia="Calibri" w:cs="Calibri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Функціональні дослідження</w:t>
      </w:r>
      <w:r/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3"/>
        <w:gridCol w:w="833"/>
        <w:gridCol w:w="1410"/>
        <w:gridCol w:w="1788"/>
        <w:gridCol w:w="351"/>
        <w:gridCol w:w="1367"/>
        <w:gridCol w:w="250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3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Проведено досліджень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Із них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всього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8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амбулаторно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8" w:firstLine="0" w:left="-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стаціонарно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ЕКГ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спірометрія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Холтерівський моніторинг ЕКГ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6231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3449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2782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6231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7332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3874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3437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7329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У 2025 році кількість функціональних досліджень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порівнянні з показником минулого року зменшилась на 15%, холтерівський моніторинг ЕКГ та спірометрія застосовуються не застосовувались.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Клінічна лабораторія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забезпечує широкий спектр загально-клінічних, гематологічних, біохімічних, імунологічних досліджень за рахунок сучасного обладнання, включаючи автоматичні (гематолочний, електролітів крові, коагулометр, імуноферментний, імунофлюоресцентний, газовий) та нап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івавтоматичні (біохімічні) аналізатори.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9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ab/>
        <w:tab/>
        <w:tab/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9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Лабораторні аналізи</w:t>
      </w:r>
      <w:r/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66"/>
        <w:gridCol w:w="1669"/>
        <w:gridCol w:w="1270"/>
        <w:gridCol w:w="1577"/>
        <w:gridCol w:w="1086"/>
        <w:gridCol w:w="1987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Усього досліджень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(включаючи профілактичні)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Амбулаторні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Стаціонарні</w:t>
            </w:r>
            <w:r/>
          </w:p>
        </w:tc>
      </w:tr>
      <w:tr>
        <w:trPr>
          <w:trHeight w:val="77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Усього досліджень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На 100 відвідувань в поліклініці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Усього досліджень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11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На 1 стаціонарного хворого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2025 рік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298052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115621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168,3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182431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44,5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2024 рік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295136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114063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154,0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181073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41,1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Кількість лабораторних досліджень у  2025 році залишається на рівні показника минулого року, що є підсумком роботи по усуненню дублювання при призначенні лабораторних досліджень.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ФІНАНСОВО-ЕКОНОМІЧНА ДІЯЛЬНІСТЬ</w:t>
      </w:r>
      <w:r/>
      <w:r>
        <w:rPr>
          <w:rFonts w:ascii="Times New Roman" w:hAnsi="Times New Roman" w:eastAsia="Times New Roman" w:cs="Times New Roman"/>
          <w:b/>
          <w:color w:val="000000"/>
          <w:sz w:val="28"/>
        </w:rPr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 2025 рік  КНП «Менська міська лікарня» отримало дохід в сумі  67 748,0 тис.грн.,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тому числі:</w:t>
      </w:r>
      <w:r/>
    </w:p>
    <w:tbl>
      <w:tblPr>
        <w:tblStyle w:val="9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49"/>
        <w:gridCol w:w="1793"/>
        <w:gridCol w:w="1678"/>
        <w:gridCol w:w="2517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18"/>
              </w:rPr>
              <w:t xml:space="preserve">Вид доходу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18"/>
              </w:rPr>
              <w:t xml:space="preserve">2025 рік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18"/>
              </w:rPr>
              <w:t xml:space="preserve">2024 рік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</w:tabs>
              <w:spacing w:after="0"/>
              <w:ind w:right="0" w:firstLine="0" w:left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18"/>
              </w:rPr>
              <w:t xml:space="preserve">В порівнянні з 2024 роком</w:t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від НСЗУ за ПМГ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53 830,7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58389,2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-4558,5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від надання платних медичних послуг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1 580,8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1634,6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-53,8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 міського бюджету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11 439,2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6563,0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4876,2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від здачі майна в оренду(включаючи відшкодування комунальних послуг орендарями)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338,2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426,7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-88,5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від реалізації оборотних активів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-5,7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благодійна допомога в грошовій формі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102,2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98,9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3,3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відсоток по депозиту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455,7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233,3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222,4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9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Всього доходу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67748,0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8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67352,5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395,5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Основним джерелом фінансування КНП «Менська міська лікарня» є оплата згідно Договорів з НСЗУ про медичне обслуговування населення за Програмою медичних гарантій, яке складає 80 % від всіх доходів підприємства.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2025 рік  підприємство заключило Договір з НСЗУ по  18 пакетах медичних послуг за ПМГ.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Сума по Договору на 2025 складала 54 413,0 тис.грн., що на 3 966,1 тис. грн менше ніж сума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на 2024 рік.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Сума отриманих коштів – 53 830,7 тис.грн.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Зменшення суми доходів відбулося по 3, 5, 23, 24, 53 пакетах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 рахунок коштів міського бюджету проведено фінансування поточних та капітальних видатків в сумі 11 439,2 тис.грн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., в тому числі: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Проведено оплату за комунальні послуги та енергоносії 6311,3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Проведено ремонт аварії теплотраси на суму 56,5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Встановлено протипожежну сигналізацію на суму 185,2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Закуплено та встановлено лічильник тепла на суму 92,5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Виготовлено ПКД на перенесення лічильника тепла на суму 55,5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Проведено аварійний ремонт підлоги харчоблоку на суму 67,0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Проведено ремонт вхідної групи поліклінічного відділення з врахуванням потреб осіб з обмеженими можливостями та для відповідності вимогам щодо інклюзії вартістю 181,4 тис.грн. 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Проведено навчання та спеціалізація медичного персоналу на суму 92,6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Виплачено заохочувальних виплат (підйомні новоприбулому лікарю та щоквартальні премії медичним працівникам), а також доплата лікарям-інтернам до мінімального рівня оплати праці на загальну суму 306,9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Придбано службове житло для лікаря на суму 800,0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Закуплено медичне обладнання на загальну суму 3125,9 тис.грн., в тому числі:</w:t>
      </w:r>
      <w:r/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відеоендоскопічна система - 2966,9 тис.грн.;</w:t>
      </w:r>
      <w:r/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стоматологічна установка - 159,0 тис. грн.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 рахунок коштів на виконання депутатських повноважень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депутатами обласної ради було виділено 112,4 тис. грн, на яке закуплено наступне медичне обладнання:</w:t>
      </w:r>
      <w:r/>
    </w:p>
    <w:p>
      <w:pPr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Фармацевтичний холодильник – 46,3 тис.грн.;</w:t>
      </w:r>
      <w:r/>
    </w:p>
    <w:p>
      <w:pPr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Апарат міостимуляції -  30,0 тис.грн. </w:t>
      </w:r>
      <w:r/>
    </w:p>
    <w:p>
      <w:pPr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Цифровий отоскоп – 36,1 тис.грн.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жовтні 2024 року на даху 3-х поверхового лікувального корпусу встановлено сонячну електростанцію. В результаті цього споживання електроенергії за 2025 рік  в порівнянні з 2024 роком зменшилося на 54356 кВт, що дало змогу зекономити за рік близько півміль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йона грн.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 власні кошти було закуплено медичного та іншого обладнання на загальну суму 114,5 тис.грн.,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т.ч.: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Принтер Canon 2 шт -31 999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Парафінонагрівач ПР-02 – 15 000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Фотокалориметр – 19 500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Ноутбук 2 шт – 47 999 грн;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Благодійно отримано продуктів харчування, медичного та іншого обладнання на загальну суму 1 965,1 тис. грн.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т.ч.: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Аналізатор біохімічний автоматичний – 677 653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Продукти харчування від благодійних організацій та фізичних осіб  - 263 084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Портативна електростанція від Асоціації Східна Європа – 166 700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Медичні меблі від Моментум Віле фор Хьюменіті – 151 505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Гігієнічні набори від ГО Жінки і діти України наше майбутнє – 140 488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Тринокулярний мікроскоп  з програмним забезпеченням – 137 940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Ноутбук, планшет 4 шт – 130 457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Монітори пацієнта 4 шт – 84 000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Кушетка, водонагрівач, меблі від Альянсу громадського здоров’я – 52 638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Принтер Canon 2 шт від Моментум Віле фор Хьюменіті -32 051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Ліжка, столики, стелажі від бази спецмедпостачання – 20 600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Аналізатор глікогемоглобіну – 18 458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Столик, крісло  від БО Паляниця України – 14 500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Ліжко антипролежневе від фіз.особи – 8 800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Миючі засоби від ГО Добрі ініціативи Менщини – 2 400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Білизна від БФ Надія – 2 000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Персональний комп’ютер Самсунг – 10 100 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Підйомник для хворих – 12 500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Пральна машина – 11 399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Кондиціонер – 10 510 грн.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Пристрій безперебійного живлення – 8 645 грн;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Інші господарські матеріали – 8 712 грн.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 благодійні кошти від юридичних осіб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проведено ремонт палат в терапевтичному відділенні на загальну суму 50 000 грн., та замінено вікно в переході між медичними корпусами вартістю 13 000 грн.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Загальні видатки підприємства за 2025 рік склали </w:t>
      </w:r>
      <w:r/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69 394,6  тис.грн.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тому числі:</w:t>
      </w:r>
      <w:r/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Витрати на оплату праці – 49 868,0 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Предмети, матеріали та інвентар – 1 233,4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Медикаменти та перев’язувальні матеріали – 3 555,6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Продукти харчування – 1 082,9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Оплата послуг (крім комунальних) – 2 378,1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Комунальні послуги та енергоносії – 6 534,5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Капітальні видатки – 4 237,5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Пільгові пенсії – 145,6 тис.грн.;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Інші витрати – 359,1 тис.грн.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Кредиторська заборгованість на підприємстві відсутня.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Залишок коштів на рахунках склав 4 635,7 тис.грн., що складає 80 % від щомісячних витрат підприємства.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Проблемні питання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284"/>
          <w:tab w:val="left" w:leader="none" w:pos="502"/>
          <w:tab w:val="left" w:leader="none" w:pos="72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Укомплектування фізичними особами вакантних посад лікарів (лікарі офтальмолог, отоларинголог, невропатолог, терапевт, терапевт мовлення тощо). Придбання житла для лікарів залишається надзвичайно актуальним.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284"/>
          <w:tab w:val="left" w:leader="none" w:pos="720"/>
        </w:tabs>
        <w:spacing w:after="0" w:before="0"/>
        <w:ind w:right="0" w:firstLine="0" w:left="426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Враховуючи оголошене урядом підвищення у 2026 році заробітної плати тільки для працівників ПМСД та працівників ЕМД виникає несправедливість по відношенню до медичних працівників закладів спеціалізованої допомоги, що може ще більше вплинути на кадрове забез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печення лікарні.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02"/>
          <w:tab w:val="left" w:leader="none" w:pos="72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Подальше покращення матеріально-технічної бази та укомплектування сучасним обладнанням та апаратурою (апарат наркозно-дихальний, аудіометр, стоматологічна установка, безконтактний тонометр для вимірювання внутрішньоочного тиску, кисневий концентратор потуж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ністю 20л/хв, монітори пацієнта, тощо). Крім цього вкрай потрібно придбати 2 нові пральні машини та центрифугу для пральні.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02"/>
          <w:tab w:val="left" w:leader="none" w:pos="72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Заміна ліфта.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02"/>
          <w:tab w:val="left" w:leader="none" w:pos="72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Впровадження енергозберігаючих технологій, проведення утеплення фасаду триповерхового корпусу, перенесення лічильників тепла на територію лікарні, продовження робіт по покращенню доступності (інклюзії) поліклінічного відділення (облаштування інклюзивного 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уалету).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02"/>
          <w:tab w:val="left" w:leader="none" w:pos="72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Подальша комп’ютеризація робочих місць (придбання нової комп’ютерної техніки).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02"/>
          <w:tab w:val="left" w:leader="none" w:pos="720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Оновлення парку санітарного транспорту закладу (2 легкові автомобілі та 1 санітарний автомобіль з ношами).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Генеральний директор КНП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“Менська міська лікарня”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803"/>
        </w:tabs>
        <w:spacing w:after="0"/>
        <w:ind w:right="0" w:firstLine="0" w:left="0"/>
        <w:rPr>
          <w:rFonts w:ascii="Calibri" w:hAnsi="Calibri" w:eastAsia="Calibri" w:cs="Calibri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Менської міської ради</w:t>
        <w:tab/>
        <w:t xml:space="preserve">Григорій РАЗНОВАН</w:t>
      </w:r>
      <w:r>
        <w:rPr>
          <w:rFonts w:ascii="Calibri" w:hAnsi="Calibri" w:eastAsia="Calibri" w:cs="Calibri"/>
          <w:b w:val="0"/>
          <w:bCs w:val="0"/>
          <w:sz w:val="22"/>
          <w:szCs w:val="22"/>
        </w:rPr>
      </w:r>
      <w:r>
        <w:rPr>
          <w:rFonts w:ascii="Calibri" w:hAnsi="Calibri" w:eastAsia="Calibri" w:cs="Calibri"/>
          <w:b w:val="0"/>
          <w:bCs w:val="0"/>
          <w:sz w:val="22"/>
          <w:szCs w:val="22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276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jc w:val="right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  <w:t xml:space="preserve">                                            продовження додатка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1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jc w:val="center"/>
      <w:rPr/>
    </w:pPr>
    <w:r/>
    <w:r/>
  </w:p>
  <w:p>
    <w:pPr>
      <w:pStyle w:val="91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tabs>
          <w:tab w:val="num" w:leader="none" w:pos="1065"/>
        </w:tabs>
        <w:spacing/>
        <w:ind w:hanging="360" w:left="1065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785"/>
        </w:tabs>
        <w:spacing/>
        <w:ind w:hanging="360" w:left="17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05"/>
        </w:tabs>
        <w:spacing/>
        <w:ind w:hanging="360" w:left="25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25"/>
        </w:tabs>
        <w:spacing/>
        <w:ind w:hanging="360" w:left="32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45"/>
        </w:tabs>
        <w:spacing/>
        <w:ind w:hanging="360" w:left="39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65"/>
        </w:tabs>
        <w:spacing/>
        <w:ind w:hanging="360" w:left="46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385"/>
        </w:tabs>
        <w:spacing/>
        <w:ind w:hanging="360" w:left="53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05"/>
        </w:tabs>
        <w:spacing/>
        <w:ind w:hanging="360" w:left="61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25"/>
        </w:tabs>
        <w:spacing/>
        <w:ind w:hanging="360" w:left="6825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502"/>
        </w:tabs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b/>
      </w:rPr>
      <w:start w:val="1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151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3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95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7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9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1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3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5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75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8">
    <w:name w:val="Table Grid Light"/>
    <w:basedOn w:val="9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basedOn w:val="9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9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1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2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3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4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5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6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1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2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3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4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5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6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2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3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4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3">
    <w:name w:val="Heading 1"/>
    <w:basedOn w:val="910"/>
    <w:next w:val="910"/>
    <w:link w:val="87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4">
    <w:name w:val="Heading 2"/>
    <w:basedOn w:val="910"/>
    <w:next w:val="910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5">
    <w:name w:val="Heading 3"/>
    <w:basedOn w:val="910"/>
    <w:next w:val="910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6">
    <w:name w:val="Heading 4"/>
    <w:basedOn w:val="910"/>
    <w:next w:val="910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7">
    <w:name w:val="Heading 5"/>
    <w:basedOn w:val="910"/>
    <w:next w:val="910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8">
    <w:name w:val="Heading 6"/>
    <w:basedOn w:val="910"/>
    <w:next w:val="910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9">
    <w:name w:val="Heading 7"/>
    <w:basedOn w:val="910"/>
    <w:next w:val="910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0">
    <w:name w:val="Heading 8"/>
    <w:basedOn w:val="910"/>
    <w:next w:val="910"/>
    <w:link w:val="87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Heading 9"/>
    <w:basedOn w:val="910"/>
    <w:next w:val="910"/>
    <w:link w:val="88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1 Char"/>
    <w:basedOn w:val="911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3">
    <w:name w:val="Heading 2 Char"/>
    <w:basedOn w:val="911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4">
    <w:name w:val="Heading 3 Char"/>
    <w:basedOn w:val="911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5">
    <w:name w:val="Heading 4 Char"/>
    <w:basedOn w:val="911"/>
    <w:link w:val="8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6">
    <w:name w:val="Heading 5 Char"/>
    <w:basedOn w:val="911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7">
    <w:name w:val="Heading 6 Char"/>
    <w:basedOn w:val="911"/>
    <w:link w:val="8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8">
    <w:name w:val="Heading 7 Char"/>
    <w:basedOn w:val="911"/>
    <w:link w:val="8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9">
    <w:name w:val="Heading 8 Char"/>
    <w:basedOn w:val="911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Heading 9 Char"/>
    <w:basedOn w:val="911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Title"/>
    <w:basedOn w:val="910"/>
    <w:next w:val="910"/>
    <w:link w:val="88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>
    <w:name w:val="Title Char"/>
    <w:basedOn w:val="911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910"/>
    <w:next w:val="910"/>
    <w:link w:val="8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4">
    <w:name w:val="Subtitle Char"/>
    <w:basedOn w:val="911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5">
    <w:name w:val="Quote"/>
    <w:basedOn w:val="910"/>
    <w:next w:val="910"/>
    <w:link w:val="8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6">
    <w:name w:val="Quote Char"/>
    <w:basedOn w:val="911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7">
    <w:name w:val="List Paragraph"/>
    <w:basedOn w:val="910"/>
    <w:uiPriority w:val="34"/>
    <w:qFormat/>
    <w:pPr>
      <w:pBdr/>
      <w:spacing/>
      <w:ind w:left="720"/>
      <w:contextualSpacing w:val="true"/>
    </w:pPr>
  </w:style>
  <w:style w:type="character" w:styleId="888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9">
    <w:name w:val="Intense Quote"/>
    <w:basedOn w:val="910"/>
    <w:next w:val="910"/>
    <w:link w:val="89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0">
    <w:name w:val="Intense Quote Char"/>
    <w:basedOn w:val="911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1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2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894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895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6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7">
    <w:name w:val="Header Char"/>
    <w:basedOn w:val="911"/>
    <w:link w:val="918"/>
    <w:uiPriority w:val="99"/>
    <w:pPr>
      <w:pBdr/>
      <w:spacing/>
      <w:ind/>
    </w:pPr>
  </w:style>
  <w:style w:type="character" w:styleId="898">
    <w:name w:val="Footer Char"/>
    <w:basedOn w:val="911"/>
    <w:link w:val="920"/>
    <w:uiPriority w:val="99"/>
    <w:pPr>
      <w:pBdr/>
      <w:spacing/>
      <w:ind/>
    </w:pPr>
  </w:style>
  <w:style w:type="paragraph" w:styleId="899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0">
    <w:name w:val="footnote text"/>
    <w:basedOn w:val="910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Footnote Text Char"/>
    <w:basedOn w:val="911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911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10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Endnote Text Char"/>
    <w:basedOn w:val="911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endnote reference"/>
    <w:basedOn w:val="911"/>
    <w:uiPriority w:val="99"/>
    <w:semiHidden/>
    <w:unhideWhenUsed/>
    <w:pPr>
      <w:pBdr/>
      <w:spacing/>
      <w:ind/>
    </w:pPr>
    <w:rPr>
      <w:vertAlign w:val="superscript"/>
    </w:rPr>
  </w:style>
  <w:style w:type="character" w:styleId="906">
    <w:name w:val="Hyperlink"/>
    <w:basedOn w:val="91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7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</w:style>
  <w:style w:type="character" w:styleId="911" w:default="1">
    <w:name w:val="Default Paragraph Font"/>
    <w:uiPriority w:val="1"/>
    <w:semiHidden/>
    <w:unhideWhenUsed/>
    <w:pPr>
      <w:pBdr/>
      <w:spacing/>
      <w:ind/>
    </w:pPr>
  </w:style>
  <w:style w:type="table" w:styleId="91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3" w:default="1">
    <w:name w:val="No List"/>
    <w:uiPriority w:val="99"/>
    <w:semiHidden/>
    <w:unhideWhenUsed/>
    <w:pPr>
      <w:pBdr/>
      <w:spacing/>
      <w:ind/>
    </w:pPr>
  </w:style>
  <w:style w:type="paragraph" w:styleId="914">
    <w:name w:val="Normal (Web)"/>
    <w:basedOn w:val="91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table" w:styleId="915">
    <w:name w:val="Table Grid"/>
    <w:basedOn w:val="912"/>
    <w:uiPriority w:val="3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 w:customStyle="1">
    <w:name w:val="docdata"/>
    <w:basedOn w:val="911"/>
    <w:pPr>
      <w:pBdr/>
      <w:spacing/>
      <w:ind/>
    </w:pPr>
  </w:style>
  <w:style w:type="paragraph" w:styleId="917">
    <w:name w:val="No Spacing"/>
    <w:uiPriority w:val="1"/>
    <w:qFormat/>
    <w:pPr>
      <w:pBdr/>
      <w:spacing w:after="0" w:line="240" w:lineRule="auto"/>
      <w:ind/>
    </w:pPr>
  </w:style>
  <w:style w:type="paragraph" w:styleId="918">
    <w:name w:val="Header"/>
    <w:basedOn w:val="910"/>
    <w:link w:val="91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19" w:customStyle="1">
    <w:name w:val="Верхний колонтитул Знак"/>
    <w:basedOn w:val="911"/>
    <w:link w:val="918"/>
    <w:uiPriority w:val="99"/>
    <w:pPr>
      <w:pBdr/>
      <w:spacing/>
      <w:ind/>
    </w:pPr>
  </w:style>
  <w:style w:type="paragraph" w:styleId="920">
    <w:name w:val="Footer"/>
    <w:basedOn w:val="910"/>
    <w:link w:val="921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21" w:customStyle="1">
    <w:name w:val="Нижний колонтитул Знак"/>
    <w:basedOn w:val="911"/>
    <w:link w:val="920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16</cp:revision>
  <dcterms:created xsi:type="dcterms:W3CDTF">2026-01-19T09:10:00Z</dcterms:created>
  <dcterms:modified xsi:type="dcterms:W3CDTF">2026-01-29T19:26:02Z</dcterms:modified>
</cp:coreProperties>
</file>