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4"/>
        <w:pBdr/>
        <w:spacing w:after="0" w:afterAutospacing="0" w:before="0" w:beforeAutospacing="0"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Додаток 1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</w:r>
      <w:r>
        <w:rPr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/>
        <w:ind w:left="9912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«Молодь Менської           громади» </w:t>
      </w:r>
      <w:r>
        <w:rPr>
          <w:color w:val="000000"/>
          <w:sz w:val="28"/>
          <w:szCs w:val="28"/>
          <w:lang w:val="uk-UA"/>
        </w:rPr>
        <w:t xml:space="preserve">на період 2025-</w:t>
      </w:r>
      <w:bookmarkStart w:id="0" w:name="_GoBack"/>
      <w:r/>
      <w:bookmarkEnd w:id="0"/>
      <w:r>
        <w:rPr>
          <w:color w:val="000000"/>
          <w:sz w:val="28"/>
          <w:szCs w:val="28"/>
          <w:lang w:val="uk-UA"/>
        </w:rPr>
        <w:t xml:space="preserve">2027 роки, затвердженої </w:t>
      </w:r>
      <w:r>
        <w:rPr>
          <w:color w:val="000000"/>
          <w:sz w:val="28"/>
          <w:szCs w:val="28"/>
          <w:lang w:val="uk-UA"/>
        </w:rPr>
        <w:t xml:space="preserve">69</w:t>
      </w:r>
      <w:r>
        <w:rPr>
          <w:color w:val="000000"/>
          <w:sz w:val="28"/>
          <w:szCs w:val="28"/>
          <w:lang w:val="uk-UA"/>
        </w:rPr>
        <w:t xml:space="preserve"> сесією Менської міської ради 8 скликання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/>
        <w:ind w:left="991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28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січ</w:t>
      </w:r>
      <w:r>
        <w:rPr>
          <w:color w:val="000000"/>
          <w:sz w:val="28"/>
          <w:szCs w:val="28"/>
          <w:lang w:val="uk-UA"/>
        </w:rPr>
        <w:t xml:space="preserve">ня 202</w:t>
      </w:r>
      <w:r>
        <w:rPr>
          <w:color w:val="000000"/>
          <w:sz w:val="28"/>
          <w:szCs w:val="28"/>
          <w:lang w:val="uk-UA"/>
        </w:rPr>
        <w:t xml:space="preserve">6</w:t>
      </w:r>
      <w:r>
        <w:rPr>
          <w:color w:val="000000"/>
          <w:sz w:val="28"/>
          <w:szCs w:val="28"/>
          <w:lang w:val="uk-UA"/>
        </w:rPr>
        <w:t xml:space="preserve"> року №</w:t>
      </w:r>
      <w:r>
        <w:rPr>
          <w:color w:val="000000"/>
          <w:sz w:val="28"/>
          <w:szCs w:val="28"/>
          <w:lang w:val="uk-UA"/>
        </w:rPr>
        <w:t xml:space="preserve">15</w:t>
      </w:r>
      <w:r>
        <w:rPr>
          <w:color w:val="000000"/>
          <w:sz w:val="28"/>
          <w:szCs w:val="28"/>
          <w:lang w:val="uk-UA"/>
        </w:rPr>
      </w:r>
    </w:p>
    <w:p>
      <w:pPr>
        <w:pStyle w:val="935"/>
        <w:pBdr/>
        <w:spacing/>
        <w:ind w:left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з реалізації Програми «Молодь Менської громади» на 2025-2027 роки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35"/>
        <w:pBdr/>
        <w:spacing w:after="0" w:afterAutospacing="0" w:before="0" w:beforeAutospacing="0"/>
        <w:ind w:left="11199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tbl>
      <w:tblPr>
        <w:tblStyle w:val="936"/>
        <w:tblW w:w="14720" w:type="dxa"/>
        <w:tblBorders/>
        <w:tblLayout w:type="fixed"/>
        <w:tblLook w:val="04A0" w:firstRow="1" w:lastRow="0" w:firstColumn="1" w:lastColumn="0" w:noHBand="0" w:noVBand="1"/>
      </w:tblPr>
      <w:tblGrid>
        <w:gridCol w:w="391"/>
        <w:gridCol w:w="3432"/>
        <w:gridCol w:w="3260"/>
        <w:gridCol w:w="1417"/>
        <w:gridCol w:w="1843"/>
        <w:gridCol w:w="1701"/>
        <w:gridCol w:w="851"/>
        <w:gridCol w:w="992"/>
        <w:gridCol w:w="833"/>
      </w:tblGrid>
      <w:tr>
        <w:trPr>
          <w:trHeight w:val="170"/>
          <w:tblHeader/>
        </w:trPr>
        <w:tc>
          <w:tcPr>
            <w:tcBorders/>
            <w:tcW w:w="39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432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Зміст заходу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260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Виконавці/партнери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Термін виконання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843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Обсяги фінансування (тис. грн.)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267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 тому числі за роками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(тис. грн.)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13"/>
          <w:tblHeader/>
        </w:trPr>
        <w:tc>
          <w:tcPr>
            <w:tcBorders/>
            <w:tcW w:w="39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3432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326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/>
            <w:tcW w:w="1843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  <w:r>
              <w:rPr>
                <w:rFonts w:ascii="Times New Roman" w:hAnsi="Times New Roman"/>
                <w:b/>
                <w:sz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tcW w:w="83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2761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проведення концертів, конкурсів, фестивалів, семінарів, тренінгів, конференцій, обмінів, таборів та інших заходів  із залученням спеціалістів, громадських організацій тощо.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фестивалів, ігор, конкурсів, концертів тощо для розвитку громадянських та творчих компетентностей серед молоді.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в обласних, Всеукраїнських, Міжнародних заходах.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обмінів молоддю в межах регіону, України та за кордон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Відділ освіти Менської міської ради.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 старостати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бюджет, 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140,0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</w:t>
            </w:r>
            <w:r>
              <w:rPr>
                <w:rFonts w:ascii="Times New Roman" w:hAnsi="Times New Roman"/>
                <w:lang w:val="uk-UA"/>
              </w:rPr>
              <w:t xml:space="preserve">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761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та розвиток Менської молодіжної ради та інших дитячих та молодіжних об’єднань на території громади (створ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ення Молодіжної ради відповідно до чинного Положення, забезпечення її діяльності шляхом створення належних умов для проведення засідань та інших заходів, матеріально-технічне забезпечення діяльності МР, підтримка інших молодіжних та дитячих формувань тощо)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 старостати,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Організація та проведення профорієнтаційних та інформаційно-роз’яснювальних заходів з метою формування професійних намірів молоді щодо свідомого вибору життєвого шляху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Менський відділ Корюківської філії Чернігівського обласного центру зайнятості, Відділ освіти менської міської ради.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7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Проведення заходів екологічного напрямку та інформаційно-роз’яснювальної роботи серед учнівської  молоді щодо формування свідомого ставлення до необхідності підвищення рівня енергозбереження і енергоефективності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відділ освіти Менської міської ради, Менська міська рада, старостати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8,0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tabs>
                <w:tab w:val="center" w:leader="none" w:pos="1608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Сприяння зайнятості молоді шляхом працевлаштування, в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тому числі на новостворені робочі місця та шляхом започаткування власної справи за сприянням служби зайнятості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Менський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Корюківської філії Чернігівського обласного центру зайнятості.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бюджет, інші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Організація проведення громадських робіт та інших робіт тимчасового характеру для безробітної молоді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Менський відділ Корюківської філії Чернігівського обласного центру зайнятості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4.0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Забезпечення умов для належної діяльності і розвитку мережі існуючих молодіжних просторів та створення нових просторів для підлітків та молоді за місцем проживання та інших закладів молодіжної політики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Менська міська рада,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старостати, громадські об'єднання (за згодою)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бюджет, 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1451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Підвищення рівня культури волонтерства серед молоді. Проведення семінарів, тренінгів, конференцій, та інших заходів з метою забезпечення розвитку культури волонтерства.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відділ освіти Менської міської ради, громадські об'єднання (за згодою)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бюджет, інші джерела, не заборонені законодавством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функціонування Школи «Молодого посадовця» (придбання канцелярських товарів, транспортні послуги, виготовлення свідоцтва тощо)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рада, структурні підрозділи міської ради, старостати,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 Відділ освіти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конкурсу молодіжних проєктів 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організації змістовного молодіжного дозвілля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600,0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200,0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709"/>
        </w:trPr>
        <w:tc>
          <w:tcPr>
            <w:tcBorders/>
            <w:tcW w:w="391" w:type="dxa"/>
            <w:textDirection w:val="lrTb"/>
            <w:noWrap/>
          </w:tcPr>
          <w:p>
            <w:pPr>
              <w:pStyle w:val="937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343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Підготовка та видання інформаційних і методичних матеріалів, виготовлення і розміщення соціальних роликів і реклами.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r>
          </w:p>
        </w:tc>
        <w:tc>
          <w:tcPr>
            <w:tcBorders/>
            <w:tcW w:w="326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освіти Менської міської ради,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Менська міська рада.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41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роки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  <w:tr>
        <w:trPr>
          <w:trHeight w:val="285"/>
        </w:trPr>
        <w:tc>
          <w:tcPr>
            <w:gridSpan w:val="4"/>
            <w:tcBorders/>
            <w:tcW w:w="850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ВСЬОГО: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Місцевий бюджет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1050,0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333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335</w:t>
            </w:r>
            <w:r>
              <w:rPr>
                <w:rFonts w:ascii="Times New Roman" w:hAnsi="Times New Roman"/>
                <w:lang w:val="uk-UA"/>
              </w:rPr>
              <w:t xml:space="preserve">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  <w:tc>
          <w:tcPr>
            <w:tcBorders>
              <w:left w:val="single" w:color="auto" w:sz="4" w:space="0"/>
            </w:tcBorders>
            <w:tcW w:w="83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382,0</w:t>
            </w:r>
            <w:r>
              <w:rPr>
                <w:rFonts w:ascii="Times New Roman" w:hAnsi="Times New Roman"/>
                <w:lang w:val="uk-UA"/>
              </w:rPr>
            </w:r>
            <w:r>
              <w:rPr>
                <w:rFonts w:ascii="Times New Roman" w:hAnsi="Times New Roman"/>
                <w:lang w:val="uk-UA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Начальник Відділу культури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Світлана ШЕЛУДЬКО</w:t>
      </w: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1906" w:orient="landscape" w:w="16838"/>
      <w:pgMar w:top="1134" w:right="567" w:bottom="709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tabs>
        <w:tab w:val="left" w:leader="none" w:pos="5528"/>
        <w:tab w:val="left" w:leader="none" w:pos="5669"/>
        <w:tab w:val="clear" w:leader="none" w:pos="7143"/>
        <w:tab w:val="clear" w:leader="none" w:pos="14287"/>
      </w:tabs>
      <w:spacing/>
      <w:ind/>
      <w:jc w:val="right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>
      <w:tab/>
    </w:r>
    <w:r>
      <w:t xml:space="preserve">продовження</w:t>
    </w:r>
    <w:r>
      <w:t xml:space="preserve"> </w:t>
    </w:r>
    <w:r>
      <w:t xml:space="preserve">додатку</w:t>
    </w:r>
    <w:r/>
  </w:p>
  <w:p>
    <w:pPr>
      <w:pStyle w:val="78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  <w:pPr>
      <w:pBdr/>
      <w:spacing/>
      <w:ind/>
    </w:pPr>
  </w:style>
  <w:style w:type="paragraph" w:styleId="711">
    <w:name w:val="Heading 1"/>
    <w:basedOn w:val="710"/>
    <w:next w:val="710"/>
    <w:link w:val="767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68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69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70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71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72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73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74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75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character" w:styleId="723" w:customStyle="1">
    <w:name w:val="Caption Char"/>
    <w:uiPriority w:val="99"/>
    <w:pPr>
      <w:pBdr/>
      <w:spacing/>
      <w:ind/>
    </w:pPr>
  </w:style>
  <w:style w:type="table" w:styleId="724">
    <w:name w:val="Plain Table 1"/>
    <w:basedOn w:val="7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2"/>
    <w:basedOn w:val="72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3" w:customStyle="1">
    <w:name w:val="Heading 1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44" w:customStyle="1">
    <w:name w:val="Heading 2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45" w:customStyle="1">
    <w:name w:val="Heading 3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46" w:customStyle="1">
    <w:name w:val="Heading 4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47" w:customStyle="1">
    <w:name w:val="Heading 5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48" w:customStyle="1">
    <w:name w:val="Heading 6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9" w:customStyle="1">
    <w:name w:val="Heading 7 Char"/>
    <w:basedOn w:val="7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0" w:customStyle="1">
    <w:name w:val="Heading 8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 w:customStyle="1">
    <w:name w:val="Heading 9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2" w:customStyle="1">
    <w:name w:val="Title Char"/>
    <w:basedOn w:val="7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3" w:customStyle="1">
    <w:name w:val="Subtitle Char"/>
    <w:basedOn w:val="7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4" w:customStyle="1">
    <w:name w:val="Quote Char"/>
    <w:basedOn w:val="7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Intense Emphasis"/>
    <w:basedOn w:val="72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6" w:customStyle="1">
    <w:name w:val="Intense Quote Char"/>
    <w:basedOn w:val="72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57">
    <w:name w:val="Intense Reference"/>
    <w:basedOn w:val="72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8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760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761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3" w:customStyle="1">
    <w:name w:val="Header Char"/>
    <w:basedOn w:val="720"/>
    <w:uiPriority w:val="99"/>
    <w:pPr>
      <w:pBdr/>
      <w:spacing/>
      <w:ind/>
    </w:pPr>
  </w:style>
  <w:style w:type="character" w:styleId="764" w:customStyle="1">
    <w:name w:val="Foot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65" w:customStyle="1">
    <w:name w:val="End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66">
    <w:name w:val="FollowedHyperlink"/>
    <w:basedOn w:val="72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7" w:customStyle="1">
    <w:name w:val="Заголовок 1 Знак"/>
    <w:basedOn w:val="720"/>
    <w:link w:val="71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20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20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20"/>
    <w:link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20"/>
    <w:link w:val="7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20"/>
    <w:link w:val="71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20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  <w:pPr>
      <w:pBdr/>
      <w:spacing w:after="0" w:line="240" w:lineRule="auto"/>
      <w:ind/>
    </w:pPr>
  </w:style>
  <w:style w:type="paragraph" w:styleId="777">
    <w:name w:val="Title"/>
    <w:basedOn w:val="710"/>
    <w:next w:val="710"/>
    <w:link w:val="77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8" w:customStyle="1">
    <w:name w:val="Заголовок Знак"/>
    <w:basedOn w:val="720"/>
    <w:link w:val="777"/>
    <w:uiPriority w:val="10"/>
    <w:pPr>
      <w:pBdr/>
      <w:spacing/>
      <w:ind/>
    </w:pPr>
    <w:rPr>
      <w:sz w:val="48"/>
      <w:szCs w:val="48"/>
    </w:rPr>
  </w:style>
  <w:style w:type="paragraph" w:styleId="779">
    <w:name w:val="Subtitle"/>
    <w:basedOn w:val="710"/>
    <w:next w:val="710"/>
    <w:link w:val="780"/>
    <w:uiPriority w:val="11"/>
    <w:qFormat/>
    <w:pPr>
      <w:pBdr/>
      <w:spacing w:before="200"/>
      <w:ind/>
    </w:pPr>
    <w:rPr>
      <w:sz w:val="24"/>
      <w:szCs w:val="24"/>
    </w:rPr>
  </w:style>
  <w:style w:type="character" w:styleId="780" w:customStyle="1">
    <w:name w:val="Подзаголовок Знак"/>
    <w:basedOn w:val="720"/>
    <w:link w:val="779"/>
    <w:uiPriority w:val="11"/>
    <w:pPr>
      <w:pBdr/>
      <w:spacing/>
      <w:ind/>
    </w:pPr>
    <w:rPr>
      <w:sz w:val="24"/>
      <w:szCs w:val="24"/>
    </w:rPr>
  </w:style>
  <w:style w:type="paragraph" w:styleId="781">
    <w:name w:val="Quote"/>
    <w:basedOn w:val="710"/>
    <w:next w:val="710"/>
    <w:link w:val="782"/>
    <w:uiPriority w:val="29"/>
    <w:qFormat/>
    <w:pPr>
      <w:pBdr/>
      <w:spacing/>
      <w:ind w:right="720" w:left="720"/>
    </w:pPr>
    <w:rPr>
      <w:i/>
    </w:rPr>
  </w:style>
  <w:style w:type="character" w:styleId="782" w:customStyle="1">
    <w:name w:val="Цитата 2 Знак"/>
    <w:link w:val="781"/>
    <w:uiPriority w:val="29"/>
    <w:pPr>
      <w:pBdr/>
      <w:spacing/>
      <w:ind/>
    </w:pPr>
    <w:rPr>
      <w:i/>
    </w:rPr>
  </w:style>
  <w:style w:type="paragraph" w:styleId="783">
    <w:name w:val="Intense Quote"/>
    <w:basedOn w:val="710"/>
    <w:next w:val="710"/>
    <w:link w:val="7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4" w:customStyle="1">
    <w:name w:val="Выделенная цитата Знак"/>
    <w:link w:val="783"/>
    <w:uiPriority w:val="30"/>
    <w:pPr>
      <w:pBdr/>
      <w:spacing/>
      <w:ind/>
    </w:pPr>
    <w:rPr>
      <w:i/>
    </w:rPr>
  </w:style>
  <w:style w:type="paragraph" w:styleId="785">
    <w:name w:val="Header"/>
    <w:basedOn w:val="710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6" w:customStyle="1">
    <w:name w:val="Верхний колонтитул Знак"/>
    <w:basedOn w:val="720"/>
    <w:link w:val="785"/>
    <w:uiPriority w:val="99"/>
    <w:pPr>
      <w:pBdr/>
      <w:spacing/>
      <w:ind/>
    </w:pPr>
  </w:style>
  <w:style w:type="paragraph" w:styleId="787">
    <w:name w:val="Footer"/>
    <w:basedOn w:val="710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 w:customStyle="1">
    <w:name w:val="Footer Char"/>
    <w:basedOn w:val="720"/>
    <w:uiPriority w:val="99"/>
    <w:pPr>
      <w:pBdr/>
      <w:spacing/>
      <w:ind/>
    </w:pPr>
  </w:style>
  <w:style w:type="paragraph" w:styleId="789">
    <w:name w:val="Caption"/>
    <w:basedOn w:val="710"/>
    <w:next w:val="710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790" w:customStyle="1">
    <w:name w:val="Нижний колонтитул Знак"/>
    <w:link w:val="787"/>
    <w:uiPriority w:val="99"/>
    <w:pPr>
      <w:pBdr/>
      <w:spacing/>
      <w:ind/>
    </w:pPr>
  </w:style>
  <w:style w:type="table" w:styleId="791" w:customStyle="1">
    <w:name w:val="Table Grid Light"/>
    <w:basedOn w:val="7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а простая 11"/>
    <w:basedOn w:val="72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а простая 21"/>
    <w:basedOn w:val="72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а простая 3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Таблица простая 4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а простая 5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а-сетка 1 светлая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а-сетка 2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а-сетка 3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-сетка 4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а-сетка 5 темная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а-сетка 6 цветная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-сетка 7 цветная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Список-таблица 1 светлая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Список-таблица 2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писок-таблица 3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писок-таблица 4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писок-таблица 5 темная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-таблица 6 цветная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-таблица 7 цветная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710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 w:customStyle="1">
    <w:name w:val="Текст с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20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710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 w:customStyle="1">
    <w:name w:val="Текст концевой сноски Знак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710"/>
    <w:next w:val="710"/>
    <w:uiPriority w:val="39"/>
    <w:unhideWhenUsed/>
    <w:pPr>
      <w:pBdr/>
      <w:spacing w:after="57"/>
      <w:ind/>
    </w:pPr>
  </w:style>
  <w:style w:type="paragraph" w:styleId="924">
    <w:name w:val="toc 2"/>
    <w:basedOn w:val="710"/>
    <w:next w:val="710"/>
    <w:uiPriority w:val="39"/>
    <w:unhideWhenUsed/>
    <w:pPr>
      <w:pBdr/>
      <w:spacing w:after="57"/>
      <w:ind w:left="283"/>
    </w:pPr>
  </w:style>
  <w:style w:type="paragraph" w:styleId="925">
    <w:name w:val="toc 3"/>
    <w:basedOn w:val="710"/>
    <w:next w:val="710"/>
    <w:uiPriority w:val="39"/>
    <w:unhideWhenUsed/>
    <w:pPr>
      <w:pBdr/>
      <w:spacing w:after="57"/>
      <w:ind w:left="567"/>
    </w:pPr>
  </w:style>
  <w:style w:type="paragraph" w:styleId="926">
    <w:name w:val="toc 4"/>
    <w:basedOn w:val="710"/>
    <w:next w:val="710"/>
    <w:uiPriority w:val="39"/>
    <w:unhideWhenUsed/>
    <w:pPr>
      <w:pBdr/>
      <w:spacing w:after="57"/>
      <w:ind w:left="850"/>
    </w:pPr>
  </w:style>
  <w:style w:type="paragraph" w:styleId="927">
    <w:name w:val="toc 5"/>
    <w:basedOn w:val="710"/>
    <w:next w:val="710"/>
    <w:uiPriority w:val="39"/>
    <w:unhideWhenUsed/>
    <w:pPr>
      <w:pBdr/>
      <w:spacing w:after="57"/>
      <w:ind w:left="1134"/>
    </w:pPr>
  </w:style>
  <w:style w:type="paragraph" w:styleId="928">
    <w:name w:val="toc 6"/>
    <w:basedOn w:val="710"/>
    <w:next w:val="710"/>
    <w:uiPriority w:val="39"/>
    <w:unhideWhenUsed/>
    <w:pPr>
      <w:pBdr/>
      <w:spacing w:after="57"/>
      <w:ind w:left="1417"/>
    </w:pPr>
  </w:style>
  <w:style w:type="paragraph" w:styleId="929">
    <w:name w:val="toc 7"/>
    <w:basedOn w:val="710"/>
    <w:next w:val="710"/>
    <w:uiPriority w:val="39"/>
    <w:unhideWhenUsed/>
    <w:pPr>
      <w:pBdr/>
      <w:spacing w:after="57"/>
      <w:ind w:left="1701"/>
    </w:pPr>
  </w:style>
  <w:style w:type="paragraph" w:styleId="930">
    <w:name w:val="toc 8"/>
    <w:basedOn w:val="710"/>
    <w:next w:val="710"/>
    <w:uiPriority w:val="39"/>
    <w:unhideWhenUsed/>
    <w:pPr>
      <w:pBdr/>
      <w:spacing w:after="57"/>
      <w:ind w:left="1984"/>
    </w:pPr>
  </w:style>
  <w:style w:type="paragraph" w:styleId="931">
    <w:name w:val="toc 9"/>
    <w:basedOn w:val="710"/>
    <w:next w:val="710"/>
    <w:uiPriority w:val="39"/>
    <w:unhideWhenUsed/>
    <w:pPr>
      <w:pBdr/>
      <w:spacing w:after="57"/>
      <w:ind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710"/>
    <w:next w:val="710"/>
    <w:uiPriority w:val="99"/>
    <w:unhideWhenUsed/>
    <w:pPr>
      <w:pBdr/>
      <w:spacing w:after="0"/>
      <w:ind/>
    </w:pPr>
  </w:style>
  <w:style w:type="paragraph" w:styleId="934" w:customStyle="1">
    <w:name w:val="docdata"/>
    <w:basedOn w:val="710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35">
    <w:name w:val="Normal (Web)"/>
    <w:basedOn w:val="71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table" w:styleId="936">
    <w:name w:val="Table Grid"/>
    <w:basedOn w:val="7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  <w:lang w:val="en-US" w:eastAsia="en-US" w:bidi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7">
    <w:name w:val="List Paragraph"/>
    <w:basedOn w:val="710"/>
    <w:uiPriority w:val="34"/>
    <w:qFormat/>
    <w:pPr>
      <w:pBdr/>
      <w:spacing/>
      <w:ind w:left="720"/>
      <w:contextualSpacing w:val="true"/>
    </w:pPr>
  </w:style>
  <w:style w:type="paragraph" w:styleId="938">
    <w:name w:val="Balloon Text"/>
    <w:basedOn w:val="710"/>
    <w:link w:val="93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9" w:customStyle="1">
    <w:name w:val="Текст выноски Знак"/>
    <w:basedOn w:val="720"/>
    <w:link w:val="93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Eco_1</dc:creator>
  <cp:keywords/>
  <dc:description/>
  <cp:lastModifiedBy>СТАЛЬНИЧЕНКО Юрій Валерійович</cp:lastModifiedBy>
  <cp:revision>7</cp:revision>
  <dcterms:created xsi:type="dcterms:W3CDTF">2026-01-20T08:58:00Z</dcterms:created>
  <dcterms:modified xsi:type="dcterms:W3CDTF">2026-01-29T19:00:47Z</dcterms:modified>
</cp:coreProperties>
</file>