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62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земельної ділянки в орендне користування гр. Федоренко С.В.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гр. Федоренка Сергія Володимировича щодо передачі в орендне користування земельної ділянки площею 0,0417 га, кадастровий номер 7423010100:01:002:0371, в м. Мена, по вул. Шевченка, 1, (код згідно КВЦПЗ – 03,07) для будівництва та обслуг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овування будівель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торгівлі, на якій знаходиться об'єкт нерухомого майна на праві приватної власності, керуючись, ст.12,93,120,134 Земельного кодексу України, ст. 284 Податкового кодексу України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ередати гр. Федоренку Сергію Володимировичу в орендне користування земельну ділянку площею 0,0417 га, кадастровий номер 7423010100:01:002:0371, в м. Мена, по вул. Шевченка, 1, (код згідно КВЦПЗ – 03,07) для будівництва та обслуговування будівель торгівлі,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строком на 20 років та встановити орендну плату 12 % від нормативно-грошової оцінки земельної ділянки.</w:t>
      </w:r>
      <w:r/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Федоренку 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ргію Володимировичу укласти договір оренди землі та здійснити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гр. Федоренка С.В.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  <w:tab w:val="right" w:leader="none" w:pos="963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2026-01-29T07:24:38Z</dcterms:modified>
</cp:coreProperties>
</file>