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13 січня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07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Style w:val="1_845"/>
        <w:widowControl w:val="false"/>
        <w:pBdr/>
        <w:tabs>
          <w:tab w:val="left" w:leader="none" w:pos="8506"/>
        </w:tabs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завідувача сектору кадрової роботи</w:t>
      </w:r>
      <w:r>
        <w:rPr>
          <w:sz w:val="28"/>
          <w:szCs w:val="28"/>
          <w:lang w:eastAsia="zh-CN"/>
        </w:rPr>
        <w:t xml:space="preserve"> Менської міської ради </w:t>
      </w:r>
      <w:r>
        <w:rPr>
          <w:sz w:val="28"/>
          <w:szCs w:val="28"/>
          <w:lang w:eastAsia="zh-CN"/>
        </w:rPr>
        <w:t xml:space="preserve">Осєдач</w:t>
      </w:r>
      <w:r>
        <w:rPr>
          <w:sz w:val="28"/>
          <w:szCs w:val="28"/>
          <w:lang w:eastAsia="zh-CN"/>
        </w:rPr>
        <w:t xml:space="preserve"> Р.М.</w:t>
      </w:r>
      <w:r>
        <w:rPr>
          <w:sz w:val="28"/>
          <w:szCs w:val="28"/>
          <w:lang w:eastAsia="zh-CN"/>
        </w:rPr>
        <w:t xml:space="preserve"> та начальника </w:t>
      </w:r>
      <w:r>
        <w:rPr>
          <w:sz w:val="28"/>
          <w:szCs w:val="28"/>
          <w:lang w:eastAsia="zh-CN"/>
        </w:rPr>
        <w:t xml:space="preserve">юридичного відділу </w:t>
      </w:r>
      <w:r>
        <w:rPr>
          <w:sz w:val="28"/>
          <w:szCs w:val="28"/>
          <w:lang w:eastAsia="zh-CN"/>
        </w:rPr>
        <w:t xml:space="preserve">М</w:t>
      </w:r>
      <w:r>
        <w:rPr>
          <w:sz w:val="28"/>
          <w:szCs w:val="28"/>
          <w:lang w:eastAsia="zh-CN"/>
        </w:rPr>
        <w:t xml:space="preserve">ен</w:t>
      </w:r>
      <w:r>
        <w:rPr>
          <w:sz w:val="28"/>
          <w:szCs w:val="28"/>
          <w:lang w:eastAsia="zh-CN"/>
        </w:rPr>
        <w:t xml:space="preserve">с</w:t>
      </w:r>
      <w:r>
        <w:rPr>
          <w:sz w:val="28"/>
          <w:szCs w:val="28"/>
          <w:lang w:eastAsia="zh-CN"/>
        </w:rPr>
        <w:t xml:space="preserve">ької міської ради Марцевої Т.І.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питань, які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потребують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оплату праці керівника</w:t>
      </w:r>
      <w:r>
        <w:rPr>
          <w:bCs/>
          <w:color w:val="000000"/>
          <w:sz w:val="28"/>
          <w:szCs w:val="28"/>
        </w:rPr>
        <w:t xml:space="preserve"> комунальної установи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з метою своєчасного врегулювання питання оплати праці керівника, про внесення змін до рішення виконавчого комітету №255 від 17 грудня 2025 року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з метою забезпечення заходів з організації суспільно корисних робіт в умовах воєнного стану на території Менської громади та своєчасного залучення до даних робіт безробітних осіб, про погодження передачі в оренду майна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з метою забезпечення безперебійної роботи Відділення поліції №1 (</w:t>
      </w:r>
      <w:r>
        <w:rPr>
          <w:bCs/>
          <w:color w:val="000000"/>
          <w:sz w:val="28"/>
          <w:szCs w:val="28"/>
        </w:rPr>
        <w:t xml:space="preserve">м.Мена</w:t>
      </w:r>
      <w:r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Корюківського</w:t>
      </w:r>
      <w:r>
        <w:rPr>
          <w:bCs/>
          <w:color w:val="000000"/>
          <w:sz w:val="28"/>
          <w:szCs w:val="28"/>
        </w:rPr>
        <w:t xml:space="preserve"> районного відділу поліції, про встановлення графіка вуличного освітлення,</w:t>
      </w:r>
      <w:r>
        <w:rPr>
          <w:bCs/>
          <w:color w:val="000000"/>
          <w:sz w:val="28"/>
          <w:szCs w:val="28"/>
        </w:rPr>
        <w:t xml:space="preserve"> та</w:t>
      </w:r>
      <w:r>
        <w:rPr>
          <w:bCs/>
          <w:color w:val="000000"/>
          <w:sz w:val="28"/>
          <w:szCs w:val="28"/>
        </w:rPr>
        <w:t xml:space="preserve"> враховуючи рішення комісії ТЕБ та НС щодо відновлення вуличного освітлення на території громади</w:t>
      </w:r>
      <w:r>
        <w:rPr>
          <w:bCs/>
          <w:color w:val="000000"/>
          <w:sz w:val="28"/>
          <w:szCs w:val="28"/>
        </w:rPr>
        <w:t xml:space="preserve">,</w:t>
      </w:r>
      <w:bookmarkStart w:id="0" w:name="_GoBack"/>
      <w:r/>
      <w:bookmarkEnd w:id="0"/>
      <w:r>
        <w:rPr>
          <w:bCs/>
          <w:color w:val="000000"/>
          <w:sz w:val="28"/>
          <w:szCs w:val="28"/>
        </w:rPr>
        <w:t xml:space="preserve"> з м</w:t>
      </w:r>
      <w:r>
        <w:rPr>
          <w:bCs/>
          <w:color w:val="000000"/>
          <w:sz w:val="28"/>
          <w:szCs w:val="28"/>
        </w:rPr>
        <w:t xml:space="preserve">етою </w:t>
      </w:r>
      <w:r>
        <w:rPr>
          <w:bCs/>
          <w:color w:val="000000"/>
          <w:sz w:val="28"/>
          <w:szCs w:val="28"/>
        </w:rPr>
        <w:t xml:space="preserve">забезпечення безпечних умов для водіїв та пішоходів на вулицях населених пунктів громади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/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14 січня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850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Про встановлення графіка вуличного освітлення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Ірина Валеріївна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ідділу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1_845"/>
        <w:pBdr/>
        <w:spacing w:after="0" w:afterAutospacing="0" w:before="0" w:beforeAutospacing="0"/>
        <w:ind w:right="5528" w:firstLine="567"/>
        <w:jc w:val="both"/>
        <w:rPr/>
      </w:pPr>
      <w:r>
        <w:rPr>
          <w:bCs/>
          <w:sz w:val="28"/>
          <w:szCs w:val="28"/>
        </w:rPr>
        <w:t xml:space="preserve"> 2)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 оплату праці</w:t>
      </w:r>
      <w:r>
        <w:t xml:space="preserve">.</w:t>
      </w:r>
      <w:r/>
      <w:r/>
    </w:p>
    <w:p>
      <w:pPr>
        <w:pStyle w:val="1_845"/>
        <w:pBdr/>
        <w:spacing w:after="0" w:afterAutospacing="0" w:before="0" w:beforeAutospacing="0"/>
        <w:ind w:firstLine="567"/>
        <w:jc w:val="both"/>
        <w:rPr/>
      </w:pPr>
      <w:r>
        <w:rPr>
          <w:bCs/>
          <w:color w:val="000000"/>
          <w:sz w:val="28"/>
          <w:szCs w:val="28"/>
        </w:rPr>
        <w:t xml:space="preserve">Доповідає </w:t>
      </w:r>
      <w:r>
        <w:rPr>
          <w:bCs/>
          <w:color w:val="000000"/>
          <w:sz w:val="28"/>
          <w:szCs w:val="28"/>
        </w:rPr>
        <w:t xml:space="preserve">Осєдач</w:t>
      </w:r>
      <w:r>
        <w:rPr>
          <w:bCs/>
          <w:color w:val="000000"/>
          <w:sz w:val="28"/>
          <w:szCs w:val="28"/>
        </w:rPr>
        <w:t xml:space="preserve"> Раїса Миколаївна, завідувач сектору кадрової роботи Менської міської ради.</w:t>
      </w:r>
      <w:r/>
      <w:r/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3) 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Про погодження передачі в оренду майна.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Доповідає Марцева Тетяна Іванівна, начальник юридичного відділу Менської міської ради.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4)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Про внесення змін до рішення виконавчого комітету Менської міської ради 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ві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д 17 грудня 2025 року № 255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Доповідає Марцева Тетяна Іванівна, начальник юридичного відділу М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  <w:t xml:space="preserve">енської міської ради.</w:t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bCs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docdata"/>
    <w:basedOn w:val="75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2026-01-15T07:58:19Z</dcterms:modified>
</cp:coreProperties>
</file>