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856"/>
        <w:pBdr/>
        <w:spacing/>
        <w:ind/>
        <w:jc w:val="center"/>
        <w:rPr>
          <w:rFonts w:ascii="Times New Roman" w:hAnsi="Times New Roman" w:cs="Mangal"/>
          <w:color w:val="000000"/>
        </w:rPr>
      </w:pPr>
      <w:r>
        <w:rPr>
          <w:rFonts w:ascii="Times New Roman" w:hAnsi="Times New Roman" w:cs="Mangal"/>
          <w:color w:val="000000" w:themeColor="text1"/>
          <w:sz w:val="28"/>
          <w:szCs w:val="28"/>
          <w:lang w:eastAsia="hi-IN" w:bidi="hi-IN"/>
        </w:rPr>
      </w:r>
      <w:r>
        <w:rPr>
          <w:rFonts w:ascii="Times New Roman" w:hAnsi="Times New Roman" w:cs="Mangal"/>
          <w:color w:val="000000"/>
        </w:rPr>
      </w:r>
      <w:r>
        <w:rPr>
          <w:rFonts w:ascii="Times New Roman" w:hAnsi="Times New Roman" w:cs="Mangal"/>
          <w:color w:val="000000"/>
        </w:rPr>
      </w:r>
    </w:p>
    <w:p>
      <w:pPr>
        <w:pStyle w:val="856"/>
        <w:pBdr/>
        <w:spacing w:line="228" w:lineRule="auto"/>
        <w:ind w:right="0" w:firstLine="0" w:left="0"/>
        <w:jc w:val="center"/>
        <w:rPr>
          <w:rFonts w:ascii="Times New Roman" w:hAnsi="Times New Roman" w:cs="Mangal"/>
          <w:b/>
          <w:bCs/>
          <w:color w:val="000000" w:themeColor="text1"/>
          <w:sz w:val="28"/>
          <w:szCs w:val="28"/>
          <w:highlight w:val="none"/>
          <w:lang w:eastAsia="hi-IN" w:bidi="hi-IN"/>
        </w:rPr>
      </w:pPr>
      <w:r>
        <w:rPr>
          <w:rFonts w:ascii="Times New Roman" w:hAnsi="Times New Roman" w:cs="Mangal"/>
          <w:b/>
          <w:color w:val="000000" w:themeColor="text1"/>
          <w:sz w:val="28"/>
          <w:szCs w:val="28"/>
          <w:lang w:eastAsia="hi-IN" w:bidi="hi-IN"/>
        </w:rPr>
        <w:t xml:space="preserve">МЕНСЬКА МІСЬКА РАДА</w:t>
      </w:r>
      <w:r>
        <w:rPr>
          <w:rFonts w:ascii="Times New Roman" w:hAnsi="Times New Roman" w:cs="Mangal"/>
          <w:b/>
          <w:bCs/>
          <w:color w:val="000000" w:themeColor="text1"/>
          <w:sz w:val="28"/>
          <w:szCs w:val="28"/>
          <w:highlight w:val="none"/>
          <w:lang w:eastAsia="hi-IN" w:bidi="hi-IN"/>
        </w:rPr>
      </w:r>
      <w:r>
        <w:rPr>
          <w:rFonts w:ascii="Times New Roman" w:hAnsi="Times New Roman" w:cs="Mangal"/>
          <w:b/>
          <w:bCs/>
          <w:color w:val="000000" w:themeColor="text1"/>
          <w:sz w:val="28"/>
          <w:szCs w:val="28"/>
          <w:highlight w:val="none"/>
          <w:lang w:eastAsia="hi-IN" w:bidi="hi-IN"/>
        </w:rPr>
      </w:r>
    </w:p>
    <w:p>
      <w:pPr>
        <w:pStyle w:val="856"/>
        <w:pBdr/>
        <w:spacing w:line="228" w:lineRule="auto"/>
        <w:ind w:right="0" w:firstLine="0" w:left="0"/>
        <w:jc w:val="center"/>
        <w:rPr>
          <w:rFonts w:ascii="Times New Roman" w:hAnsi="Times New Roman" w:cs="Mangal"/>
          <w:color w:val="000000"/>
          <w:sz w:val="16"/>
          <w:szCs w:val="16"/>
        </w:rPr>
      </w:pPr>
      <w:r>
        <w:rPr>
          <w:rFonts w:ascii="Times New Roman" w:hAnsi="Times New Roman" w:cs="Mangal"/>
          <w:b/>
          <w:color w:val="000000" w:themeColor="text1"/>
          <w:sz w:val="16"/>
          <w:szCs w:val="16"/>
          <w:highlight w:val="none"/>
          <w:lang w:eastAsia="hi-IN" w:bidi="hi-IN"/>
        </w:rPr>
      </w:r>
      <w:r>
        <w:rPr>
          <w:rFonts w:ascii="Times New Roman" w:hAnsi="Times New Roman" w:cs="Mangal"/>
          <w:color w:val="000000"/>
          <w:sz w:val="16"/>
          <w:szCs w:val="16"/>
        </w:rPr>
      </w:r>
      <w:r>
        <w:rPr>
          <w:rFonts w:ascii="Times New Roman" w:hAnsi="Times New Roman" w:cs="Mangal"/>
          <w:color w:val="000000"/>
          <w:sz w:val="16"/>
          <w:szCs w:val="16"/>
        </w:rPr>
      </w:r>
    </w:p>
    <w:p>
      <w:pPr>
        <w:widowControl w:val="false"/>
        <w:pBdr/>
        <w:spacing w:after="0" w:line="228" w:lineRule="auto"/>
        <w:ind w:right="0" w:firstLine="0" w:left="0"/>
        <w:jc w:val="center"/>
        <w:rPr>
          <w:rFonts w:ascii="Times New Roman" w:hAnsi="Times New Roman" w:cs="Mangal"/>
          <w:color w:val="000000"/>
        </w:rPr>
      </w:pPr>
      <w:r>
        <w:rPr>
          <w:rFonts w:ascii="Times New Roman" w:hAnsi="Times New Roman" w:cs="Mangal"/>
          <w:b/>
          <w:color w:val="000000" w:themeColor="text1"/>
          <w:sz w:val="28"/>
          <w:szCs w:val="28"/>
          <w:lang w:eastAsia="hi-IN" w:bidi="hi-IN"/>
        </w:rPr>
        <w:t xml:space="preserve">РОЗПОРЯДЖЕННЯ </w:t>
      </w:r>
      <w:r>
        <w:rPr>
          <w:rFonts w:ascii="Times New Roman" w:hAnsi="Times New Roman" w:cs="Mangal"/>
          <w:color w:val="000000"/>
        </w:rPr>
      </w:r>
      <w:r>
        <w:rPr>
          <w:rFonts w:ascii="Times New Roman" w:hAnsi="Times New Roman" w:cs="Mangal"/>
          <w:color w:val="000000"/>
        </w:rPr>
      </w:r>
    </w:p>
    <w:p>
      <w:pPr>
        <w:widowControl w:val="false"/>
        <w:pBdr/>
        <w:tabs>
          <w:tab w:val="left" w:leader="none" w:pos="4535"/>
          <w:tab w:val="left" w:leader="none" w:pos="7371"/>
          <w:tab w:val="left" w:leader="none" w:pos="7513"/>
        </w:tabs>
        <w:spacing w:after="0" w:line="228" w:lineRule="auto"/>
        <w:ind/>
        <w:rPr>
          <w:rFonts w:ascii="Times New Roman" w:hAnsi="Times New Roman" w:cs="Mangal"/>
          <w:color w:val="000000"/>
        </w:rPr>
      </w:pPr>
      <w:r>
        <w:rPr>
          <w:rFonts w:ascii="Times New Roman" w:hAnsi="Times New Roman" w:cs="Mangal"/>
          <w:color w:val="000000" w:themeColor="text1"/>
          <w:sz w:val="20"/>
          <w:szCs w:val="28"/>
          <w:lang w:eastAsia="hi-IN" w:bidi="hi-IN"/>
        </w:rPr>
      </w:r>
      <w:r>
        <w:rPr>
          <w:rFonts w:ascii="Times New Roman" w:hAnsi="Times New Roman" w:cs="Mangal"/>
          <w:color w:val="000000"/>
        </w:rPr>
      </w:r>
      <w:r>
        <w:rPr>
          <w:rFonts w:ascii="Times New Roman" w:hAnsi="Times New Roman" w:cs="Mangal"/>
          <w:color w:val="000000"/>
        </w:rPr>
      </w:r>
    </w:p>
    <w:p>
      <w:pPr>
        <w:pBdr>
          <w:top w:val="none" w:color="000000" w:sz="4" w:space="0"/>
          <w:left w:val="none" w:color="000000" w:sz="4" w:space="0"/>
          <w:bottom w:val="none" w:color="000000" w:sz="4" w:space="0"/>
          <w:right w:val="none" w:color="000000" w:sz="4" w:space="0"/>
        </w:pBdr>
        <w:tabs>
          <w:tab w:val="clear" w:leader="none" w:pos="1134"/>
          <w:tab w:val="left" w:leader="none" w:pos="4535"/>
          <w:tab w:val="left" w:leader="none" w:pos="7372"/>
          <w:tab w:val="left" w:leader="none" w:pos="7514"/>
        </w:tabs>
        <w:spacing w:after="0" w:before="0" w:line="228" w:lineRule="auto"/>
        <w:ind w:right="0" w:firstLine="0" w:left="0"/>
        <w:rPr/>
      </w:pPr>
      <w:r>
        <w:rPr>
          <w:rFonts w:ascii="Times New Roman" w:hAnsi="Times New Roman" w:eastAsia="Times New Roman" w:cs="Times New Roman"/>
          <w:color w:val="000000"/>
          <w:sz w:val="28"/>
        </w:rPr>
        <w:t xml:space="preserve">14 січня 2026 року</w:t>
        <w:tab/>
        <w:t xml:space="preserve">м.Мена</w:t>
        <w:tab/>
        <w:t xml:space="preserve">№ 12</w:t>
      </w:r>
      <w:r/>
    </w:p>
    <w:p>
      <w:pPr>
        <w:pBdr>
          <w:top w:val="none" w:color="000000" w:sz="4" w:space="0"/>
          <w:left w:val="none" w:color="000000" w:sz="4" w:space="0"/>
          <w:bottom w:val="none" w:color="000000" w:sz="4" w:space="0"/>
          <w:right w:val="none" w:color="000000" w:sz="4" w:space="0"/>
        </w:pBdr>
        <w:spacing w:after="0" w:before="0" w:line="228" w:lineRule="auto"/>
        <w:ind w:right="0" w:firstLine="0" w:left="0"/>
        <w:rPr/>
      </w:pPr>
      <w:r>
        <w:rPr>
          <w:rFonts w:ascii="Times New Roman" w:hAnsi="Times New Roman" w:eastAsia="Times New Roman" w:cs="Times New Roman"/>
          <w:color w:val="000000"/>
          <w:sz w:val="24"/>
        </w:rPr>
        <w:t xml:space="preserve"> </w:t>
      </w:r>
      <w:r/>
    </w:p>
    <w:p>
      <w:pPr>
        <w:pBdr>
          <w:top w:val="none" w:color="000000" w:sz="4" w:space="0"/>
          <w:left w:val="none" w:color="000000" w:sz="4" w:space="0"/>
          <w:bottom w:val="none" w:color="000000" w:sz="4" w:space="0"/>
          <w:right w:val="none" w:color="000000" w:sz="4" w:space="0"/>
        </w:pBdr>
        <w:spacing w:after="0" w:before="0" w:line="228" w:lineRule="auto"/>
        <w:ind w:right="5244" w:firstLine="0" w:left="0"/>
        <w:jc w:val="both"/>
        <w:rPr/>
      </w:pPr>
      <w:r>
        <w:rPr>
          <w:rFonts w:ascii="Times New Roman" w:hAnsi="Times New Roman" w:eastAsia="Times New Roman" w:cs="Times New Roman"/>
          <w:b/>
          <w:color w:val="000000"/>
          <w:sz w:val="28"/>
        </w:rPr>
        <w:t xml:space="preserve">Про облікову політику по Менській міській раді на 2026 рік </w:t>
      </w:r>
      <w:r/>
    </w:p>
    <w:p>
      <w:pPr>
        <w:pBdr>
          <w:top w:val="none" w:color="000000" w:sz="4" w:space="0"/>
          <w:left w:val="none" w:color="000000" w:sz="4" w:space="0"/>
          <w:bottom w:val="none" w:color="000000" w:sz="4" w:space="0"/>
          <w:right w:val="none" w:color="000000" w:sz="4" w:space="0"/>
        </w:pBdr>
        <w:spacing w:after="0" w:before="0" w:line="228" w:lineRule="auto"/>
        <w:ind w:right="0" w:firstLine="0" w:left="0"/>
        <w:jc w:val="both"/>
        <w:rPr/>
      </w:pPr>
      <w:r>
        <w:rPr>
          <w:rFonts w:ascii="Times New Roman" w:hAnsi="Times New Roman" w:eastAsia="Times New Roman" w:cs="Times New Roman"/>
          <w:color w:val="000000"/>
          <w:sz w:val="24"/>
        </w:rPr>
        <w:t xml:space="preserve"> </w:t>
      </w:r>
      <w:r/>
    </w:p>
    <w:p>
      <w:pPr>
        <w:pBdr>
          <w:top w:val="none" w:color="000000" w:sz="4" w:space="0"/>
          <w:left w:val="none" w:color="000000" w:sz="4" w:space="0"/>
          <w:bottom w:val="none" w:color="000000" w:sz="4" w:space="0"/>
          <w:right w:val="none" w:color="000000" w:sz="4" w:space="0"/>
        </w:pBdr>
        <w:spacing w:after="0" w:before="0" w:line="228" w:lineRule="auto"/>
        <w:ind w:right="0" w:firstLine="708" w:left="0"/>
        <w:jc w:val="both"/>
        <w:rPr/>
      </w:pPr>
      <w:r>
        <w:rPr>
          <w:rFonts w:ascii="Times New Roman" w:hAnsi="Times New Roman" w:eastAsia="Times New Roman" w:cs="Times New Roman"/>
          <w:color w:val="000000"/>
          <w:sz w:val="28"/>
        </w:rPr>
        <w:t xml:space="preserve">Відповідно до Закону України «Про бухгалтерський облік та фінансову звітність в Україні» від 16 липня 1999 року № 996-ХІV, Типового положення про бухгалтерську службу бюджетної установи, затвердженого постановою Кабінету Міністрів України від 26 січня 2011</w:t>
      </w:r>
      <w:r>
        <w:rPr>
          <w:rFonts w:ascii="Times New Roman" w:hAnsi="Times New Roman" w:eastAsia="Times New Roman" w:cs="Times New Roman"/>
          <w:color w:val="000000"/>
          <w:sz w:val="28"/>
        </w:rPr>
        <w:t xml:space="preserve"> року № 59, положень Національних (стандартів) бухгалтерського обліку в державному секторі (далі – НП(С)БО),</w:t>
      </w:r>
      <w:r>
        <w:rPr>
          <w:rFonts w:ascii="Times New Roman" w:hAnsi="Times New Roman" w:eastAsia="Times New Roman" w:cs="Times New Roman"/>
          <w:color w:val="ff0000"/>
          <w:sz w:val="28"/>
        </w:rPr>
        <w:t xml:space="preserve"> </w:t>
      </w:r>
      <w:r>
        <w:rPr>
          <w:rFonts w:ascii="Times New Roman" w:hAnsi="Times New Roman" w:eastAsia="Times New Roman" w:cs="Times New Roman"/>
          <w:color w:val="000000"/>
          <w:sz w:val="28"/>
        </w:rPr>
        <w:t xml:space="preserve">Плану рахунків бухгалтерського обліку в державному секторі, затвердженого наказом Міністерства фінансів України від 31 грудня 2013 року № 1203 та з метою забезпечення належного ведення бухгалтерського обліку у  Менській міській раді, св</w:t>
      </w:r>
      <w:r>
        <w:rPr>
          <w:rFonts w:ascii="Times New Roman" w:hAnsi="Times New Roman" w:eastAsia="Times New Roman" w:cs="Times New Roman"/>
          <w:color w:val="000000"/>
          <w:sz w:val="28"/>
        </w:rPr>
        <w:t xml:space="preserve">оєчасного надання достовірної інформації користувачам фінансової звітності, керуючись статтями 42, 50 Закону України «Про місцеве самоврядування в Україні»:</w:t>
      </w:r>
      <w:r/>
    </w:p>
    <w:p>
      <w:pPr>
        <w:pBdr>
          <w:top w:val="none" w:color="000000" w:sz="4" w:space="0"/>
          <w:left w:val="none" w:color="000000" w:sz="4" w:space="0"/>
          <w:bottom w:val="none" w:color="000000" w:sz="4" w:space="0"/>
          <w:right w:val="none" w:color="000000" w:sz="4" w:space="0"/>
        </w:pBdr>
        <w:spacing w:after="0" w:line="228" w:lineRule="auto"/>
        <w:ind w:right="0" w:firstLine="567" w:left="0"/>
        <w:jc w:val="both"/>
        <w:rPr/>
      </w:pPr>
      <w:r>
        <w:rPr>
          <w:rFonts w:ascii="Times New Roman" w:hAnsi="Times New Roman" w:eastAsia="Times New Roman" w:cs="Times New Roman"/>
          <w:color w:val="000000"/>
          <w:sz w:val="28"/>
        </w:rPr>
        <w:t xml:space="preserve">1. Затвердити такі положення облікової політики:</w:t>
      </w:r>
      <w:r/>
    </w:p>
    <w:p>
      <w:pPr>
        <w:pBdr>
          <w:top w:val="none" w:color="000000" w:sz="4" w:space="0"/>
          <w:left w:val="none" w:color="000000" w:sz="4" w:space="0"/>
          <w:bottom w:val="none" w:color="000000" w:sz="4" w:space="0"/>
          <w:right w:val="none" w:color="000000" w:sz="4" w:space="0"/>
        </w:pBdr>
        <w:spacing w:after="0" w:line="228" w:lineRule="auto"/>
        <w:ind w:right="0" w:firstLine="567" w:left="0"/>
        <w:jc w:val="both"/>
        <w:rPr/>
      </w:pPr>
      <w:r>
        <w:rPr>
          <w:rFonts w:ascii="Times New Roman" w:hAnsi="Times New Roman" w:eastAsia="Times New Roman" w:cs="Times New Roman"/>
          <w:color w:val="000000"/>
          <w:sz w:val="28"/>
        </w:rPr>
        <w:t xml:space="preserve">1.1 Форма бухгалтерського обліку:  меморіально - ордерна.</w:t>
      </w:r>
      <w:r/>
    </w:p>
    <w:p>
      <w:pPr>
        <w:pBdr>
          <w:top w:val="none" w:color="000000" w:sz="4" w:space="0"/>
          <w:left w:val="none" w:color="000000" w:sz="4" w:space="0"/>
          <w:bottom w:val="none" w:color="000000" w:sz="4" w:space="0"/>
          <w:right w:val="none" w:color="000000" w:sz="4" w:space="0"/>
        </w:pBdr>
        <w:spacing w:after="0" w:line="228" w:lineRule="auto"/>
        <w:ind w:right="0" w:firstLine="567" w:left="0"/>
        <w:jc w:val="both"/>
        <w:rPr/>
      </w:pPr>
      <w:r>
        <w:rPr>
          <w:rFonts w:ascii="Times New Roman" w:hAnsi="Times New Roman" w:eastAsia="Times New Roman" w:cs="Times New Roman"/>
          <w:color w:val="000000"/>
          <w:sz w:val="28"/>
        </w:rPr>
        <w:t xml:space="preserve">1.2 Підстава для відображення операції в бухгалтерському обліку - первинний документ, який фіксує факт здійснення операції та складається під час її здійснення. Оформлення та подання первинних документів відбувається відповідно до вимог Положення про докум</w:t>
      </w:r>
      <w:r>
        <w:rPr>
          <w:rFonts w:ascii="Times New Roman" w:hAnsi="Times New Roman" w:eastAsia="Times New Roman" w:cs="Times New Roman"/>
          <w:color w:val="000000"/>
          <w:sz w:val="28"/>
        </w:rPr>
        <w:t xml:space="preserve">ентальне забезпечення записів у бухгалтерському обліку, затвердженого</w:t>
      </w:r>
      <w:r>
        <w:rPr>
          <w:rFonts w:ascii="Times New Roman" w:hAnsi="Times New Roman" w:eastAsia="Times New Roman" w:cs="Times New Roman"/>
          <w:color w:val="000000" w:themeColor="text1"/>
          <w:sz w:val="28"/>
        </w:rPr>
        <w:t xml:space="preserve"> </w:t>
      </w:r>
      <w:r>
        <w:rPr>
          <w:rFonts w:ascii="Times New Roman" w:hAnsi="Times New Roman" w:eastAsia="Times New Roman" w:cs="Times New Roman"/>
          <w:color w:val="000000" w:themeColor="text1"/>
          <w:sz w:val="28"/>
        </w:rPr>
        <w:t xml:space="preserve">наказом Міністерства фінансів України від 24 травня 1995 року № 88</w:t>
      </w:r>
      <w:r>
        <w:rPr>
          <w:rFonts w:ascii="Times New Roman" w:hAnsi="Times New Roman" w:eastAsia="Times New Roman" w:cs="Times New Roman"/>
          <w:color w:val="000000"/>
          <w:sz w:val="28"/>
        </w:rPr>
        <w:t xml:space="preserve">, у строки, які визначені Графіком документообігу </w:t>
      </w:r>
      <w:r/>
    </w:p>
    <w:p>
      <w:pPr>
        <w:pBdr>
          <w:top w:val="none" w:color="000000" w:sz="4" w:space="0"/>
          <w:left w:val="none" w:color="000000" w:sz="4" w:space="0"/>
          <w:bottom w:val="none" w:color="000000" w:sz="4" w:space="0"/>
          <w:right w:val="none" w:color="000000" w:sz="4" w:space="0"/>
        </w:pBdr>
        <w:spacing w:after="0" w:line="228" w:lineRule="auto"/>
        <w:ind w:right="0" w:firstLine="567" w:left="0"/>
        <w:jc w:val="both"/>
        <w:rPr/>
      </w:pPr>
      <w:r>
        <w:rPr>
          <w:rFonts w:ascii="Times New Roman" w:hAnsi="Times New Roman" w:eastAsia="Times New Roman" w:cs="Times New Roman"/>
          <w:color w:val="000000"/>
          <w:sz w:val="28"/>
        </w:rPr>
        <w:t xml:space="preserve">1.3 Застосовувати Робочий План рахунків бухгалтерського обліку.</w:t>
      </w:r>
      <w:r/>
    </w:p>
    <w:p>
      <w:pPr>
        <w:pBdr>
          <w:top w:val="none" w:color="000000" w:sz="4" w:space="0"/>
          <w:left w:val="none" w:color="000000" w:sz="4" w:space="0"/>
          <w:bottom w:val="none" w:color="000000" w:sz="4" w:space="0"/>
          <w:right w:val="none" w:color="000000" w:sz="4" w:space="0"/>
        </w:pBdr>
        <w:spacing w:after="0" w:line="228" w:lineRule="auto"/>
        <w:ind w:right="0" w:firstLine="567" w:left="0"/>
        <w:jc w:val="both"/>
        <w:rPr/>
      </w:pPr>
      <w:r>
        <w:rPr>
          <w:rFonts w:ascii="Times New Roman" w:hAnsi="Times New Roman" w:eastAsia="Times New Roman" w:cs="Times New Roman"/>
          <w:color w:val="000000"/>
          <w:sz w:val="28"/>
        </w:rPr>
        <w:t xml:space="preserve">Деталізація основних рахунків здійснюється шляхом запровадження до субрахунків аналітичних рахунків.</w:t>
      </w:r>
      <w:r/>
    </w:p>
    <w:p>
      <w:pPr>
        <w:pBdr>
          <w:top w:val="none" w:color="000000" w:sz="4" w:space="0"/>
          <w:left w:val="none" w:color="000000" w:sz="4" w:space="0"/>
          <w:bottom w:val="none" w:color="000000" w:sz="4" w:space="0"/>
          <w:right w:val="none" w:color="000000" w:sz="4" w:space="0"/>
        </w:pBdr>
        <w:spacing w:after="0" w:line="228" w:lineRule="auto"/>
        <w:ind w:right="0" w:firstLine="567" w:left="0"/>
        <w:jc w:val="both"/>
        <w:rPr/>
      </w:pPr>
      <w:r>
        <w:rPr>
          <w:rFonts w:ascii="Times New Roman" w:hAnsi="Times New Roman" w:eastAsia="Times New Roman" w:cs="Times New Roman"/>
          <w:color w:val="000000"/>
          <w:sz w:val="28"/>
        </w:rPr>
        <w:t xml:space="preserve">1.4 До складу основних засобів відносити матеріальні активи, термін експлуатації яких перевищує один рік та первісна вартість за одиницю (комплект ) перевищує 20000,00 (двадцять тисяч ) грн. Матеріальні активи, як</w:t>
      </w:r>
      <w:r>
        <w:rPr>
          <w:rFonts w:ascii="Times New Roman" w:hAnsi="Times New Roman" w:eastAsia="Times New Roman" w:cs="Times New Roman"/>
          <w:color w:val="000000"/>
          <w:sz w:val="28"/>
        </w:rPr>
        <w:t xml:space="preserve">і були віднесені до складу основних засобів до набрання чинності НП (С)БО №121 «Основні засоби», обліковувати як основні засоби до їх вибуття (списання) з обліку.</w:t>
      </w:r>
      <w:r/>
    </w:p>
    <w:p>
      <w:pPr>
        <w:pBdr>
          <w:top w:val="none" w:color="000000" w:sz="4" w:space="0"/>
          <w:left w:val="none" w:color="000000" w:sz="4" w:space="0"/>
          <w:bottom w:val="none" w:color="000000" w:sz="4" w:space="0"/>
          <w:right w:val="none" w:color="000000" w:sz="4" w:space="0"/>
        </w:pBdr>
        <w:spacing w:after="0" w:before="0" w:line="228" w:lineRule="auto"/>
        <w:ind w:right="0" w:firstLine="567" w:left="0"/>
        <w:jc w:val="both"/>
        <w:rPr/>
      </w:pPr>
      <w:r>
        <w:rPr>
          <w:rFonts w:ascii="Times New Roman" w:hAnsi="Times New Roman" w:eastAsia="Times New Roman" w:cs="Times New Roman"/>
          <w:color w:val="000000"/>
          <w:sz w:val="28"/>
        </w:rPr>
        <w:t xml:space="preserve">1.5 Проводити нарахування амортизації (зносу) на основні засоби за прямолінійним методом на систематичній основі шляхом її нарахування на річну дату балансу. Для визначення строків корисного використання груп основних засобів приймати Типові строки корисно</w:t>
      </w:r>
      <w:r>
        <w:rPr>
          <w:rFonts w:ascii="Times New Roman" w:hAnsi="Times New Roman" w:eastAsia="Times New Roman" w:cs="Times New Roman"/>
          <w:color w:val="000000"/>
          <w:sz w:val="28"/>
        </w:rPr>
        <w:t xml:space="preserve">го використання груп основних засобів, які визначені в </w:t>
      </w:r>
      <w:r>
        <w:rPr>
          <w:rFonts w:ascii="Times New Roman" w:hAnsi="Times New Roman" w:eastAsia="Times New Roman" w:cs="Times New Roman"/>
          <w:color w:val="000000" w:themeColor="text1"/>
          <w:sz w:val="28"/>
        </w:rPr>
        <w:t xml:space="preserve">НП(С)БО та в додатку 1 до методичних рекомендацій щодо облікової політики суб’єкта державного сектору, затверджених наказом Мінфіну від 23 січня 2015 року № 1</w:t>
      </w:r>
      <w:r>
        <w:rPr>
          <w:rFonts w:ascii="Times New Roman" w:hAnsi="Times New Roman" w:eastAsia="Times New Roman" w:cs="Times New Roman"/>
          <w:color w:val="000000" w:themeColor="text1"/>
          <w:sz w:val="28"/>
        </w:rPr>
        <w:t xml:space="preserve">1</w:t>
      </w:r>
      <w:r>
        <w:rPr>
          <w:rFonts w:ascii="Times New Roman" w:hAnsi="Times New Roman" w:eastAsia="Times New Roman" w:cs="Times New Roman"/>
          <w:color w:val="ff0000"/>
          <w:sz w:val="28"/>
        </w:rPr>
        <w:t xml:space="preserve"> </w:t>
      </w:r>
      <w:r>
        <w:rPr>
          <w:rFonts w:ascii="Times New Roman" w:hAnsi="Times New Roman" w:eastAsia="Times New Roman" w:cs="Times New Roman"/>
          <w:color w:val="000000"/>
          <w:sz w:val="28"/>
        </w:rPr>
        <w:t xml:space="preserve">та очікуваної експлуатації нематеріальних активів, визначених у додатку 2 до Методрекомендацій № 11. Термін корисного використання матеріальних активів, які не визначені в Типових строках корисного використання груп основних засобів визначається комісією п</w:t>
      </w:r>
      <w:r>
        <w:rPr>
          <w:rFonts w:ascii="Times New Roman" w:hAnsi="Times New Roman" w:eastAsia="Times New Roman" w:cs="Times New Roman"/>
          <w:color w:val="000000"/>
          <w:sz w:val="28"/>
        </w:rPr>
        <w:t xml:space="preserve">ри їх прийманні та затверджується розпорядженням міського голови.</w:t>
      </w:r>
      <w:r/>
    </w:p>
    <w:p>
      <w:pPr>
        <w:pBdr>
          <w:top w:val="none" w:color="000000" w:sz="4" w:space="0"/>
          <w:left w:val="none" w:color="000000" w:sz="4" w:space="0"/>
          <w:bottom w:val="none" w:color="000000" w:sz="4" w:space="0"/>
          <w:right w:val="none" w:color="000000" w:sz="4" w:space="0"/>
        </w:pBdr>
        <w:spacing w:after="0" w:line="228" w:lineRule="auto"/>
        <w:ind w:right="0" w:firstLine="567" w:left="0"/>
        <w:jc w:val="both"/>
        <w:rPr/>
      </w:pPr>
      <w:r>
        <w:rPr>
          <w:rFonts w:ascii="Times New Roman" w:hAnsi="Times New Roman" w:eastAsia="Times New Roman" w:cs="Times New Roman"/>
          <w:color w:val="000000"/>
          <w:sz w:val="28"/>
        </w:rPr>
        <w:t xml:space="preserve">1.6 Об’єкти основних засобів та нематеріальних активів на дату балансу не переоцінюються. Втрати від зменшення та вигоди від відновлення корисності об’єктів основних засобів та нематеріальних активів, їх переоцінка визначаються один раз на рік під час пров</w:t>
      </w:r>
      <w:r>
        <w:rPr>
          <w:rFonts w:ascii="Times New Roman" w:hAnsi="Times New Roman" w:eastAsia="Times New Roman" w:cs="Times New Roman"/>
          <w:color w:val="000000"/>
          <w:sz w:val="28"/>
        </w:rPr>
        <w:t xml:space="preserve">едення їх інвентаризації. Підставою для проведення переоцінки є розпорядження забезпечувального органу, у віданні якого знаходиться об’єкт основних засобів, з визначенням порядку та строків її здійснення. Проведення переоцінки проводити за розпорядженням м</w:t>
      </w:r>
      <w:r>
        <w:rPr>
          <w:rFonts w:ascii="Times New Roman" w:hAnsi="Times New Roman" w:eastAsia="Times New Roman" w:cs="Times New Roman"/>
          <w:color w:val="000000"/>
          <w:sz w:val="28"/>
        </w:rPr>
        <w:t xml:space="preserve">іського голови інвентаризаційною комісією по видах основних засобів.</w:t>
      </w:r>
      <w:r/>
    </w:p>
    <w:p>
      <w:pPr>
        <w:pBdr>
          <w:top w:val="none" w:color="000000" w:sz="4" w:space="0"/>
          <w:left w:val="none" w:color="000000" w:sz="4" w:space="0"/>
          <w:bottom w:val="none" w:color="000000" w:sz="4" w:space="0"/>
          <w:right w:val="none" w:color="000000" w:sz="4" w:space="0"/>
        </w:pBdr>
        <w:spacing w:after="0" w:line="228" w:lineRule="auto"/>
        <w:ind w:right="0" w:firstLine="567" w:left="0"/>
        <w:jc w:val="both"/>
        <w:rPr/>
      </w:pPr>
      <w:r>
        <w:rPr>
          <w:rFonts w:ascii="Times New Roman" w:hAnsi="Times New Roman" w:eastAsia="Times New Roman" w:cs="Times New Roman"/>
          <w:color w:val="000000"/>
          <w:sz w:val="28"/>
        </w:rPr>
        <w:t xml:space="preserve">1.7 В якості визначення одиниці обліку запасів використовувати їх найменування.</w:t>
      </w:r>
      <w:r/>
    </w:p>
    <w:p>
      <w:pPr>
        <w:pBdr>
          <w:top w:val="none" w:color="000000" w:sz="4" w:space="0"/>
          <w:left w:val="none" w:color="000000" w:sz="4" w:space="0"/>
          <w:bottom w:val="none" w:color="000000" w:sz="4" w:space="0"/>
          <w:right w:val="none" w:color="000000" w:sz="4" w:space="0"/>
        </w:pBdr>
        <w:spacing w:after="0" w:line="228" w:lineRule="auto"/>
        <w:ind w:right="0" w:firstLine="567" w:left="0"/>
        <w:jc w:val="both"/>
        <w:rPr/>
      </w:pPr>
      <w:r>
        <w:rPr>
          <w:rFonts w:ascii="Times New Roman" w:hAnsi="Times New Roman" w:eastAsia="Times New Roman" w:cs="Times New Roman"/>
          <w:color w:val="000000"/>
          <w:sz w:val="28"/>
        </w:rPr>
        <w:t xml:space="preserve">1.8 Оцінку запасів при їх вибутті (внаслідок їх використання, передачі або іншого вибуття) проводити за методом ФІФО з припущенням, що запаси використовуються у тій послідовності, у якій вони надходили до установи (Відображені у бухгалтерському обліку)</w:t>
      </w:r>
      <w:r/>
    </w:p>
    <w:p>
      <w:pPr>
        <w:pBdr>
          <w:top w:val="none" w:color="000000" w:sz="4" w:space="0"/>
          <w:left w:val="none" w:color="000000" w:sz="4" w:space="0"/>
          <w:bottom w:val="none" w:color="000000" w:sz="4" w:space="0"/>
          <w:right w:val="none" w:color="000000" w:sz="4" w:space="0"/>
        </w:pBdr>
        <w:shd w:val="clear" w:color="ffffff" w:fill="ffffff"/>
        <w:spacing w:after="0" w:before="0" w:line="228" w:lineRule="auto"/>
        <w:ind w:right="0" w:firstLine="567" w:left="0"/>
        <w:jc w:val="both"/>
        <w:rPr/>
      </w:pPr>
      <w:r>
        <w:rPr>
          <w:rFonts w:ascii="Times New Roman" w:hAnsi="Times New Roman" w:eastAsia="Times New Roman" w:cs="Times New Roman"/>
          <w:color w:val="000000"/>
          <w:sz w:val="28"/>
        </w:rPr>
        <w:t xml:space="preserve">1.9 Аналітичний облік запасів здійснювати з використанням форм, затверджених наказом </w:t>
      </w:r>
      <w:r>
        <w:rPr>
          <w:rFonts w:ascii="Times New Roman" w:hAnsi="Times New Roman" w:eastAsia="Times New Roman" w:cs="Times New Roman"/>
          <w:color w:val="000000"/>
          <w:sz w:val="28"/>
          <w:highlight w:val="white"/>
        </w:rPr>
        <w:t xml:space="preserve">Міністерства</w:t>
      </w: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highlight w:val="white"/>
        </w:rPr>
        <w:t xml:space="preserve">фінансів України</w:t>
      </w:r>
      <w:r>
        <w:rPr>
          <w:rFonts w:ascii="Times New Roman" w:hAnsi="Times New Roman" w:eastAsia="Times New Roman" w:cs="Times New Roman"/>
          <w:color w:val="000000"/>
          <w:sz w:val="28"/>
        </w:rPr>
        <w:t xml:space="preserve"> від </w:t>
      </w:r>
      <w:r>
        <w:rPr>
          <w:rFonts w:ascii="Times New Roman" w:hAnsi="Times New Roman" w:eastAsia="Times New Roman" w:cs="Times New Roman"/>
          <w:color w:val="000000"/>
          <w:sz w:val="28"/>
          <w:highlight w:val="white"/>
        </w:rPr>
        <w:t xml:space="preserve">13 грудня 2022 року № 431</w:t>
      </w:r>
      <w:r>
        <w:rPr>
          <w:rFonts w:ascii="Times New Roman" w:hAnsi="Times New Roman" w:eastAsia="Times New Roman" w:cs="Times New Roman"/>
          <w:color w:val="000000"/>
          <w:sz w:val="28"/>
        </w:rPr>
        <w:t xml:space="preserve"> “Про </w:t>
      </w:r>
      <w:r>
        <w:rPr>
          <w:rFonts w:ascii="Times New Roman" w:hAnsi="Times New Roman" w:eastAsia="Times New Roman" w:cs="Times New Roman"/>
          <w:color w:val="000000"/>
          <w:sz w:val="28"/>
          <w:highlight w:val="white"/>
        </w:rPr>
        <w:t xml:space="preserve">затвердження типових форм з обліку та списання запасів суб’єктами державного сектору та порядку їх складання</w:t>
      </w: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spacing w:after="0" w:before="0" w:line="228" w:lineRule="auto"/>
        <w:ind w:right="0" w:firstLine="567" w:left="0"/>
        <w:jc w:val="both"/>
        <w:rPr/>
      </w:pPr>
      <w:r>
        <w:rPr>
          <w:rFonts w:ascii="Times New Roman" w:hAnsi="Times New Roman" w:eastAsia="Times New Roman" w:cs="Times New Roman"/>
          <w:color w:val="000000"/>
          <w:sz w:val="28"/>
        </w:rPr>
        <w:t xml:space="preserve">1.10 Списання пального здійснювати на підставі подорожніх листів за фактичною витратою, але не більше встановлених норм витрат.</w:t>
      </w:r>
      <w:r/>
    </w:p>
    <w:p>
      <w:pPr>
        <w:pBdr>
          <w:top w:val="none" w:color="000000" w:sz="4" w:space="0"/>
          <w:left w:val="none" w:color="000000" w:sz="4" w:space="0"/>
          <w:bottom w:val="none" w:color="000000" w:sz="4" w:space="0"/>
          <w:right w:val="none" w:color="000000" w:sz="4" w:space="0"/>
        </w:pBdr>
        <w:spacing w:after="0" w:before="0" w:line="228" w:lineRule="auto"/>
        <w:ind w:right="0" w:firstLine="567" w:left="0"/>
        <w:jc w:val="both"/>
        <w:rPr/>
      </w:pPr>
      <w:r>
        <w:rPr>
          <w:rFonts w:ascii="Times New Roman" w:hAnsi="Times New Roman" w:eastAsia="Times New Roman" w:cs="Times New Roman"/>
          <w:color w:val="000000"/>
          <w:sz w:val="28"/>
        </w:rPr>
        <w:t xml:space="preserve">2. Бухгалтерський облік вести з дотриманням таких положень:</w:t>
      </w:r>
      <w:r/>
    </w:p>
    <w:p>
      <w:pPr>
        <w:pBdr>
          <w:top w:val="none" w:color="000000" w:sz="4" w:space="0"/>
          <w:left w:val="none" w:color="000000" w:sz="4" w:space="0"/>
          <w:bottom w:val="none" w:color="000000" w:sz="4" w:space="0"/>
          <w:right w:val="none" w:color="000000" w:sz="4" w:space="0"/>
        </w:pBdr>
        <w:spacing w:after="0" w:before="0" w:line="228" w:lineRule="auto"/>
        <w:ind w:right="0" w:firstLine="567" w:left="0"/>
        <w:jc w:val="both"/>
        <w:rPr/>
      </w:pPr>
      <w:r>
        <w:rPr>
          <w:rFonts w:ascii="Times New Roman" w:hAnsi="Times New Roman" w:eastAsia="Times New Roman" w:cs="Times New Roman"/>
          <w:color w:val="000000"/>
          <w:sz w:val="28"/>
        </w:rPr>
        <w:t xml:space="preserve">2.1. Ведення бухгалтерського обліку здійснює відділ бухгалтерського обліку та звітності під головуванням начальника відділу. Порядок роботи відділу та його начальника визначається Положенням про відділ та Посадовими інструкціями, які затверджені міським го</w:t>
      </w:r>
      <w:r>
        <w:rPr>
          <w:rFonts w:ascii="Times New Roman" w:hAnsi="Times New Roman" w:eastAsia="Times New Roman" w:cs="Times New Roman"/>
          <w:color w:val="000000"/>
          <w:sz w:val="28"/>
        </w:rPr>
        <w:t xml:space="preserve">ловою.</w:t>
      </w:r>
      <w:r/>
    </w:p>
    <w:p>
      <w:pPr>
        <w:pBdr>
          <w:top w:val="none" w:color="000000" w:sz="4" w:space="0"/>
          <w:left w:val="none" w:color="000000" w:sz="4" w:space="0"/>
          <w:bottom w:val="none" w:color="000000" w:sz="4" w:space="0"/>
          <w:right w:val="none" w:color="000000" w:sz="4" w:space="0"/>
        </w:pBdr>
        <w:spacing w:after="0" w:before="0" w:line="228" w:lineRule="auto"/>
        <w:ind w:right="0" w:firstLine="567" w:left="0"/>
        <w:jc w:val="both"/>
        <w:rPr/>
      </w:pPr>
      <w:r>
        <w:rPr>
          <w:rFonts w:ascii="Times New Roman" w:hAnsi="Times New Roman" w:eastAsia="Times New Roman" w:cs="Times New Roman"/>
          <w:color w:val="000000"/>
          <w:sz w:val="28"/>
        </w:rPr>
        <w:t xml:space="preserve">2.2. Оформлення та ведення касових операцій здійснювати відповідно до Положення про ведення касових операцій у національній валюті в Україні, затвердженого постановою правління Національного банку України від 29 грудня 2017 року № 148.</w:t>
      </w:r>
      <w:r/>
    </w:p>
    <w:p>
      <w:pPr>
        <w:pBdr>
          <w:top w:val="none" w:color="000000" w:sz="4" w:space="0"/>
          <w:left w:val="none" w:color="000000" w:sz="4" w:space="0"/>
          <w:bottom w:val="none" w:color="000000" w:sz="4" w:space="0"/>
          <w:right w:val="none" w:color="000000" w:sz="4" w:space="0"/>
        </w:pBdr>
        <w:spacing w:after="0" w:before="0" w:line="228" w:lineRule="auto"/>
        <w:ind w:right="0" w:firstLine="567" w:left="0"/>
        <w:jc w:val="both"/>
        <w:rPr/>
      </w:pPr>
      <w:r>
        <w:rPr>
          <w:rFonts w:ascii="Times New Roman" w:hAnsi="Times New Roman" w:eastAsia="Times New Roman" w:cs="Times New Roman"/>
          <w:color w:val="202020"/>
          <w:sz w:val="28"/>
        </w:rPr>
        <w:t xml:space="preserve">2.3. </w:t>
      </w:r>
      <w:r>
        <w:rPr>
          <w:rFonts w:ascii="Times New Roman" w:hAnsi="Times New Roman" w:eastAsia="Times New Roman" w:cs="Times New Roman"/>
          <w:color w:val="000000"/>
          <w:sz w:val="28"/>
        </w:rPr>
        <w:t xml:space="preserve">Інвентаризацію коштів, майна, розрахунків та інших статей балансу здійснювати з дотриманням вимог Положення про інвентаризацію активів та зобов’язань, затвердженого наказом Міністерства фінансів України від 02 вересня 2014 року № 879.</w:t>
      </w:r>
      <w:r/>
    </w:p>
    <w:p>
      <w:pPr>
        <w:pBdr>
          <w:top w:val="none" w:color="000000" w:sz="4" w:space="0"/>
          <w:left w:val="none" w:color="000000" w:sz="4" w:space="0"/>
          <w:bottom w:val="none" w:color="000000" w:sz="4" w:space="0"/>
          <w:right w:val="none" w:color="000000" w:sz="4" w:space="0"/>
        </w:pBdr>
        <w:shd w:val="clear" w:color="ffffff" w:fill="ffffff"/>
        <w:spacing w:after="0" w:before="0" w:line="228" w:lineRule="auto"/>
        <w:ind w:right="0" w:firstLine="567" w:left="0"/>
        <w:jc w:val="both"/>
        <w:rPr/>
      </w:pPr>
      <w:r>
        <w:rPr>
          <w:rFonts w:ascii="Times New Roman" w:hAnsi="Times New Roman" w:eastAsia="Times New Roman" w:cs="Times New Roman"/>
          <w:color w:val="000000"/>
          <w:sz w:val="28"/>
        </w:rPr>
        <w:t xml:space="preserve">2.4. Документальне оформлення прийняття, переміщення, вибуття необоротних активів здійснювати за типовими формами, </w:t>
      </w:r>
      <w:r>
        <w:rPr>
          <w:rFonts w:ascii="Times New Roman" w:hAnsi="Times New Roman" w:eastAsia="Times New Roman" w:cs="Times New Roman"/>
          <w:color w:val="000000"/>
          <w:sz w:val="28"/>
          <w:highlight w:val="white"/>
        </w:rPr>
        <w:t xml:space="preserve">з обліку та списання основних засобів суб’єктами державного сектору та порядку їх складання</w:t>
      </w:r>
      <w:r>
        <w:rPr>
          <w:rFonts w:ascii="Times New Roman" w:hAnsi="Times New Roman" w:eastAsia="Times New Roman" w:cs="Times New Roman"/>
          <w:color w:val="000000"/>
          <w:sz w:val="28"/>
        </w:rPr>
        <w:t xml:space="preserve">, затвердженими </w:t>
      </w:r>
      <w:r>
        <w:rPr>
          <w:rFonts w:ascii="Times New Roman" w:hAnsi="Times New Roman" w:eastAsia="Times New Roman" w:cs="Times New Roman"/>
          <w:color w:val="000000"/>
          <w:sz w:val="28"/>
          <w:highlight w:val="white"/>
        </w:rPr>
        <w:t xml:space="preserve">Наказом Міністерства</w:t>
      </w: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highlight w:val="white"/>
        </w:rPr>
        <w:t xml:space="preserve">фінансів України</w:t>
      </w:r>
      <w:r>
        <w:rPr>
          <w:rFonts w:ascii="Times New Roman" w:hAnsi="Times New Roman" w:eastAsia="Times New Roman" w:cs="Times New Roman"/>
          <w:color w:val="000000"/>
          <w:sz w:val="28"/>
        </w:rPr>
        <w:t xml:space="preserve"> </w:t>
      </w:r>
      <w:r>
        <w:rPr>
          <w:rFonts w:ascii="Times New Roman" w:hAnsi="Times New Roman" w:eastAsia="Times New Roman" w:cs="Times New Roman"/>
          <w:color w:val="000000"/>
          <w:sz w:val="28"/>
          <w:highlight w:val="white"/>
        </w:rPr>
        <w:t xml:space="preserve">13.09.2016 № 818</w:t>
      </w: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shd w:val="clear" w:color="ffffff" w:fill="ffffff"/>
        <w:spacing w:after="0" w:before="0" w:line="228" w:lineRule="auto"/>
        <w:ind w:right="0" w:firstLine="567" w:left="0"/>
        <w:jc w:val="both"/>
        <w:rPr/>
      </w:pPr>
      <w:r>
        <w:rPr>
          <w:rFonts w:ascii="Times New Roman" w:hAnsi="Times New Roman" w:eastAsia="Times New Roman" w:cs="Times New Roman"/>
          <w:color w:val="000000"/>
          <w:sz w:val="28"/>
        </w:rPr>
        <w:t xml:space="preserve">Відповідальність за нанесення інвентарних та номенклатурних номерів покласти на матеріальних осіб Менської міської ради.</w:t>
      </w:r>
      <w:r/>
    </w:p>
    <w:p>
      <w:pPr>
        <w:pBdr>
          <w:top w:val="none" w:color="000000" w:sz="4" w:space="0"/>
          <w:left w:val="none" w:color="000000" w:sz="4" w:space="0"/>
          <w:bottom w:val="none" w:color="000000" w:sz="4" w:space="0"/>
          <w:right w:val="none" w:color="000000" w:sz="4" w:space="0"/>
        </w:pBdr>
        <w:spacing w:after="0" w:before="0" w:line="228" w:lineRule="auto"/>
        <w:ind w:right="0" w:firstLine="567" w:left="0"/>
        <w:jc w:val="both"/>
        <w:rPr/>
      </w:pPr>
      <w:r>
        <w:rPr>
          <w:rFonts w:ascii="Times New Roman" w:hAnsi="Times New Roman" w:eastAsia="Times New Roman" w:cs="Times New Roman"/>
          <w:color w:val="000000"/>
          <w:sz w:val="28"/>
        </w:rPr>
        <w:t xml:space="preserve">2.5. Введення необоротних активів в експлуатацію оформляється Актом введення в експлуатацію основних засобів.</w:t>
      </w:r>
      <w:r/>
    </w:p>
    <w:p>
      <w:pPr>
        <w:pBdr>
          <w:top w:val="none" w:color="000000" w:sz="4" w:space="0"/>
          <w:left w:val="none" w:color="000000" w:sz="4" w:space="0"/>
          <w:bottom w:val="none" w:color="000000" w:sz="4" w:space="0"/>
          <w:right w:val="none" w:color="000000" w:sz="4" w:space="0"/>
        </w:pBdr>
        <w:spacing w:after="0" w:before="0" w:line="228" w:lineRule="auto"/>
        <w:ind w:right="0" w:firstLine="567" w:left="0"/>
        <w:jc w:val="both"/>
        <w:rPr/>
      </w:pPr>
      <w:r>
        <w:rPr>
          <w:rFonts w:ascii="Times New Roman" w:hAnsi="Times New Roman" w:eastAsia="Times New Roman" w:cs="Times New Roman"/>
          <w:color w:val="000000"/>
          <w:sz w:val="28"/>
        </w:rPr>
        <w:t xml:space="preserve">2.6. Переоцінка вартості основних засобів, які мають 100 % знос, здійснюється на підставі розпоряджень міського голови. При цьому сума переоцінки додається до первісної (переоціненої) вартості об’єкта без зміни суми його зносу.</w:t>
      </w:r>
      <w:r/>
    </w:p>
    <w:p>
      <w:pPr>
        <w:pBdr>
          <w:top w:val="none" w:color="000000" w:sz="4" w:space="0"/>
          <w:left w:val="none" w:color="000000" w:sz="4" w:space="0"/>
          <w:bottom w:val="none" w:color="000000" w:sz="4" w:space="0"/>
          <w:right w:val="none" w:color="000000" w:sz="4" w:space="0"/>
        </w:pBdr>
        <w:spacing w:after="0" w:before="0" w:line="228" w:lineRule="auto"/>
        <w:ind w:right="0" w:firstLine="567" w:left="0"/>
        <w:jc w:val="both"/>
        <w:rPr/>
      </w:pPr>
      <w:r>
        <w:rPr>
          <w:rFonts w:ascii="Times New Roman" w:hAnsi="Times New Roman" w:eastAsia="Times New Roman" w:cs="Times New Roman"/>
          <w:color w:val="000000"/>
          <w:sz w:val="28"/>
        </w:rPr>
        <w:t xml:space="preserve">2.7. Виплата заробітної плати працівникам за першу половину місяця в розмірі не менш 40% посадового окладу за фактично відпрацьований час проводиться </w:t>
      </w:r>
      <w:r>
        <w:rPr>
          <w:rFonts w:ascii="Times New Roman" w:hAnsi="Times New Roman" w:eastAsia="Times New Roman" w:cs="Times New Roman"/>
          <w:color w:val="000000" w:themeColor="text1"/>
          <w:sz w:val="28"/>
        </w:rPr>
        <w:t xml:space="preserve">14 –го числа, кінцевий розрахунок (заробітна плата) – через 15 днів після виплати авансу</w:t>
      </w:r>
      <w:r>
        <w:rPr>
          <w:rFonts w:ascii="Times New Roman" w:hAnsi="Times New Roman" w:eastAsia="Times New Roman" w:cs="Times New Roman"/>
          <w:color w:val="000000" w:themeColor="text1"/>
          <w:sz w:val="28"/>
        </w:rPr>
        <w:t xml:space="preserve">.</w:t>
      </w:r>
      <w:r>
        <w:rPr>
          <w:rFonts w:ascii="Times New Roman" w:hAnsi="Times New Roman" w:eastAsia="Times New Roman" w:cs="Times New Roman"/>
          <w:color w:val="000000"/>
          <w:sz w:val="28"/>
        </w:rPr>
        <w:t xml:space="preserve"> Термін здачі табеля обліку робочого часу до 26-го числа поточного місяця.</w:t>
      </w:r>
      <w:r/>
    </w:p>
    <w:p>
      <w:pPr>
        <w:pBdr>
          <w:top w:val="none" w:color="000000" w:sz="4" w:space="0"/>
          <w:left w:val="none" w:color="000000" w:sz="4" w:space="0"/>
          <w:bottom w:val="none" w:color="000000" w:sz="4" w:space="0"/>
          <w:right w:val="none" w:color="000000" w:sz="4" w:space="0"/>
        </w:pBdr>
        <w:spacing w:after="0" w:before="0" w:line="228" w:lineRule="auto"/>
        <w:ind w:right="0" w:firstLine="567" w:left="0"/>
        <w:jc w:val="both"/>
        <w:rPr/>
      </w:pPr>
      <w:r>
        <w:rPr>
          <w:rFonts w:ascii="Times New Roman" w:hAnsi="Times New Roman" w:eastAsia="Times New Roman" w:cs="Times New Roman"/>
          <w:color w:val="000000"/>
          <w:sz w:val="28"/>
        </w:rPr>
        <w:t xml:space="preserve">Заробітна плата працівникам за час відрядження виплачується з дотриманням вимог ст.121 КЗпП України. Враховуючи норми колективного договору при направленні працівника у відрядження терміном від 1 до 3 днів оплату праці  за дні відрядження здійснювати як за</w:t>
      </w:r>
      <w:r>
        <w:rPr>
          <w:rFonts w:ascii="Times New Roman" w:hAnsi="Times New Roman" w:eastAsia="Times New Roman" w:cs="Times New Roman"/>
          <w:color w:val="000000"/>
          <w:sz w:val="28"/>
        </w:rPr>
        <w:t xml:space="preserve"> робочий день, відрядження більше 3 днів оплачуються виходячи із середнього заробітку. </w:t>
      </w:r>
      <w:r/>
    </w:p>
    <w:p>
      <w:pPr>
        <w:pBdr>
          <w:top w:val="none" w:color="000000" w:sz="4" w:space="0"/>
          <w:left w:val="none" w:color="000000" w:sz="4" w:space="0"/>
          <w:bottom w:val="none" w:color="000000" w:sz="4" w:space="0"/>
          <w:right w:val="none" w:color="000000" w:sz="4" w:space="0"/>
        </w:pBdr>
        <w:spacing w:after="0" w:before="0" w:line="228" w:lineRule="auto"/>
        <w:ind w:right="0" w:firstLine="567" w:left="0"/>
        <w:jc w:val="both"/>
        <w:rPr/>
      </w:pPr>
      <w:r>
        <w:rPr>
          <w:rFonts w:ascii="Times New Roman" w:hAnsi="Times New Roman" w:eastAsia="Times New Roman" w:cs="Times New Roman"/>
          <w:color w:val="000000"/>
          <w:sz w:val="28"/>
        </w:rPr>
        <w:t xml:space="preserve">2.8. Службові поїздки для виконання службових доручень оформлюються як службові відрядження. Підставою є розпорядження міського голови.</w:t>
      </w:r>
      <w:r/>
    </w:p>
    <w:p>
      <w:pPr>
        <w:pBdr>
          <w:top w:val="none" w:color="000000" w:sz="4" w:space="0"/>
          <w:left w:val="none" w:color="000000" w:sz="4" w:space="0"/>
          <w:bottom w:val="none" w:color="000000" w:sz="4" w:space="0"/>
          <w:right w:val="none" w:color="000000" w:sz="4" w:space="0"/>
        </w:pBdr>
        <w:spacing w:after="0" w:before="0" w:line="228" w:lineRule="auto"/>
        <w:ind w:right="0" w:firstLine="567" w:left="0"/>
        <w:jc w:val="both"/>
        <w:rPr/>
      </w:pPr>
      <w:r>
        <w:rPr>
          <w:rFonts w:ascii="Times New Roman" w:hAnsi="Times New Roman" w:eastAsia="Times New Roman" w:cs="Times New Roman"/>
          <w:color w:val="000000"/>
          <w:sz w:val="28"/>
        </w:rPr>
        <w:t xml:space="preserve">2.9. Дозволяється в разі службової необхідності направляти працівника у відрядження без виплати авансу.</w:t>
      </w:r>
      <w:r/>
    </w:p>
    <w:p>
      <w:pPr>
        <w:pBdr>
          <w:top w:val="none" w:color="000000" w:sz="4" w:space="0"/>
          <w:left w:val="none" w:color="000000" w:sz="4" w:space="0"/>
          <w:bottom w:val="none" w:color="000000" w:sz="4" w:space="0"/>
          <w:right w:val="none" w:color="000000" w:sz="4" w:space="0"/>
        </w:pBdr>
        <w:spacing w:after="0" w:before="0" w:line="228" w:lineRule="auto"/>
        <w:ind w:right="0" w:firstLine="567" w:left="0"/>
        <w:jc w:val="both"/>
        <w:rPr/>
      </w:pPr>
      <w:r>
        <w:rPr>
          <w:rFonts w:ascii="Times New Roman" w:hAnsi="Times New Roman" w:eastAsia="Times New Roman" w:cs="Times New Roman"/>
          <w:color w:val="000000"/>
          <w:sz w:val="28"/>
        </w:rPr>
        <w:t xml:space="preserve">2.10. На підставі поданого авансового звіту, при наявності підтвердних документів працівнику оплачуються понесені витрати. </w:t>
      </w:r>
      <w:r/>
    </w:p>
    <w:p>
      <w:pPr>
        <w:pBdr>
          <w:top w:val="none" w:color="000000" w:sz="4" w:space="0"/>
          <w:left w:val="none" w:color="000000" w:sz="4" w:space="0"/>
          <w:bottom w:val="none" w:color="000000" w:sz="4" w:space="0"/>
          <w:right w:val="none" w:color="000000" w:sz="4" w:space="0"/>
        </w:pBdr>
        <w:spacing w:after="0" w:before="0" w:line="228" w:lineRule="auto"/>
        <w:ind w:right="0" w:firstLine="567" w:left="0"/>
        <w:jc w:val="both"/>
        <w:rPr/>
      </w:pPr>
      <w:r>
        <w:rPr>
          <w:rFonts w:ascii="Times New Roman" w:hAnsi="Times New Roman" w:eastAsia="Times New Roman" w:cs="Times New Roman"/>
          <w:color w:val="000000"/>
          <w:sz w:val="28"/>
        </w:rPr>
        <w:t xml:space="preserve">2.11. Відповідальними за підготовку, укладення та оформлення проектів договорів, додатків до них щодо надання послуг, придбання товарно - матеріальних цінностей, виконання робіт призначаються керівники структурних підрозділів, у віданні яких є предмет дого</w:t>
      </w:r>
      <w:r>
        <w:rPr>
          <w:rFonts w:ascii="Times New Roman" w:hAnsi="Times New Roman" w:eastAsia="Times New Roman" w:cs="Times New Roman"/>
          <w:color w:val="000000"/>
          <w:sz w:val="28"/>
        </w:rPr>
        <w:t xml:space="preserve">вору. </w:t>
      </w:r>
      <w:r>
        <w:rPr>
          <w:rFonts w:ascii="Times New Roman" w:hAnsi="Times New Roman" w:eastAsia="Times New Roman" w:cs="Times New Roman"/>
          <w:color w:val="202020"/>
          <w:sz w:val="28"/>
        </w:rPr>
        <w:t xml:space="preserve">Договори укладаються з </w:t>
      </w:r>
      <w:r>
        <w:rPr>
          <w:rFonts w:ascii="Times New Roman" w:hAnsi="Times New Roman" w:eastAsia="Times New Roman" w:cs="Times New Roman"/>
          <w:color w:val="000000"/>
          <w:sz w:val="28"/>
        </w:rPr>
        <w:t xml:space="preserve">урахуванням вимог  Цивільного кодексу України від 16 січня 2003 р. № 435-IV, Бюджетного кодексу України від 08 липня 2010 р. № 2456-VI , Закону України «Про публічні закупівлі» від 25 грудня 2015</w:t>
      </w:r>
      <w:r>
        <w:rPr>
          <w:rFonts w:ascii="Times New Roman" w:hAnsi="Times New Roman" w:eastAsia="Times New Roman" w:cs="Times New Roman"/>
          <w:color w:val="000000"/>
          <w:sz w:val="28"/>
        </w:rPr>
        <w:t xml:space="preserve"> р. №</w:t>
      </w:r>
      <w:r>
        <w:rPr>
          <w:rFonts w:ascii="Times New Roman" w:hAnsi="Times New Roman" w:eastAsia="Times New Roman" w:cs="Times New Roman"/>
          <w:color w:val="000000"/>
          <w:sz w:val="28"/>
        </w:rPr>
        <w:t xml:space="preserve"> 922-VIII. До надання міському голові, першому заступнику, секретарю ради, заступникам міського голови на підписання проектів договорів зазначені посадові особи обов’язково повинні погодити їх з начальником відділу бухгалтерського обліку та звітності, голо</w:t>
      </w:r>
      <w:r>
        <w:rPr>
          <w:rFonts w:ascii="Times New Roman" w:hAnsi="Times New Roman" w:eastAsia="Times New Roman" w:cs="Times New Roman"/>
          <w:color w:val="000000"/>
          <w:sz w:val="28"/>
        </w:rPr>
        <w:t xml:space="preserve">вним бухгалтером та юридичним відділом. Реєстрація укладених договорів здійснюється в книзі обліку договорів юридичного відділу.</w:t>
      </w:r>
      <w:r/>
    </w:p>
    <w:p>
      <w:pPr>
        <w:pBdr>
          <w:top w:val="none" w:color="000000" w:sz="4" w:space="0"/>
          <w:left w:val="none" w:color="000000" w:sz="4" w:space="0"/>
          <w:bottom w:val="none" w:color="000000" w:sz="4" w:space="0"/>
          <w:right w:val="none" w:color="000000" w:sz="4" w:space="0"/>
        </w:pBdr>
        <w:spacing w:after="0" w:line="228" w:lineRule="auto"/>
        <w:ind w:right="0" w:firstLine="567" w:left="0"/>
        <w:jc w:val="both"/>
        <w:rPr/>
      </w:pPr>
      <w:r>
        <w:rPr>
          <w:rFonts w:ascii="Times New Roman" w:hAnsi="Times New Roman" w:eastAsia="Times New Roman" w:cs="Times New Roman"/>
          <w:color w:val="000000"/>
          <w:sz w:val="28"/>
        </w:rPr>
        <w:t xml:space="preserve">2.12. Відображення здійснених господарських операцій в регістрах бухгалтерського обліку здійснюється відповідно до типової кореспонденції рахунків .</w:t>
      </w:r>
      <w:r/>
    </w:p>
    <w:p>
      <w:pPr>
        <w:pBdr>
          <w:top w:val="none" w:color="000000" w:sz="4" w:space="0"/>
          <w:left w:val="none" w:color="000000" w:sz="4" w:space="0"/>
          <w:bottom w:val="none" w:color="000000" w:sz="4" w:space="0"/>
          <w:right w:val="none" w:color="000000" w:sz="4" w:space="0"/>
        </w:pBdr>
        <w:tabs>
          <w:tab w:val="clear" w:leader="none" w:pos="1134"/>
        </w:tabs>
        <w:spacing w:after="0" w:line="228" w:lineRule="auto"/>
        <w:ind w:right="0" w:firstLine="567" w:left="0"/>
        <w:jc w:val="both"/>
        <w:rPr/>
      </w:pPr>
      <w:r>
        <w:rPr>
          <w:rFonts w:ascii="Times New Roman" w:hAnsi="Times New Roman" w:eastAsia="Times New Roman" w:cs="Times New Roman"/>
          <w:color w:val="000000"/>
          <w:sz w:val="28"/>
        </w:rPr>
        <w:t xml:space="preserve">3. Ведення бухгалтерського обліку діяльності Менської міської ради здійснювати з дотриманням таких організаційних питань:</w:t>
      </w:r>
      <w:r/>
    </w:p>
    <w:p>
      <w:pPr>
        <w:pBdr>
          <w:top w:val="none" w:color="000000" w:sz="4" w:space="0"/>
          <w:left w:val="none" w:color="000000" w:sz="4" w:space="0"/>
          <w:bottom w:val="none" w:color="000000" w:sz="4" w:space="0"/>
          <w:right w:val="none" w:color="000000" w:sz="4" w:space="0"/>
        </w:pBdr>
        <w:spacing w:after="0" w:line="228" w:lineRule="auto"/>
        <w:ind w:right="0" w:firstLine="567" w:left="0"/>
        <w:jc w:val="both"/>
        <w:rPr/>
      </w:pPr>
      <w:r>
        <w:rPr>
          <w:rFonts w:ascii="Times New Roman" w:hAnsi="Times New Roman" w:eastAsia="Times New Roman" w:cs="Times New Roman"/>
          <w:color w:val="000000"/>
          <w:sz w:val="28"/>
        </w:rPr>
        <w:t xml:space="preserve">3.1. Затвердити графік документообігу. </w:t>
      </w:r>
      <w:r/>
    </w:p>
    <w:p>
      <w:pPr>
        <w:pBdr>
          <w:top w:val="none" w:color="000000" w:sz="4" w:space="0"/>
          <w:left w:val="none" w:color="000000" w:sz="4" w:space="0"/>
          <w:bottom w:val="none" w:color="000000" w:sz="4" w:space="0"/>
          <w:right w:val="none" w:color="000000" w:sz="4" w:space="0"/>
        </w:pBdr>
        <w:spacing w:after="0" w:line="228" w:lineRule="auto"/>
        <w:ind w:right="0" w:firstLine="567" w:left="0"/>
        <w:jc w:val="both"/>
        <w:rPr/>
      </w:pPr>
      <w:r>
        <w:rPr>
          <w:rFonts w:ascii="Times New Roman" w:hAnsi="Times New Roman" w:eastAsia="Times New Roman" w:cs="Times New Roman"/>
          <w:color w:val="000000"/>
          <w:sz w:val="28"/>
        </w:rPr>
        <w:t xml:space="preserve">3.2. Призначити відповідальних:</w:t>
      </w:r>
      <w:r/>
    </w:p>
    <w:p>
      <w:pPr>
        <w:pBdr>
          <w:top w:val="none" w:color="000000" w:sz="4" w:space="0"/>
          <w:left w:val="none" w:color="000000" w:sz="4" w:space="0"/>
          <w:bottom w:val="none" w:color="000000" w:sz="4" w:space="0"/>
          <w:right w:val="none" w:color="000000" w:sz="4" w:space="0"/>
        </w:pBdr>
        <w:spacing w:after="0" w:line="228" w:lineRule="auto"/>
        <w:ind w:right="0" w:firstLine="567" w:left="0"/>
        <w:jc w:val="both"/>
        <w:rPr/>
      </w:pPr>
      <w:r>
        <w:rPr>
          <w:rFonts w:ascii="Times New Roman" w:hAnsi="Times New Roman" w:eastAsia="Times New Roman" w:cs="Times New Roman"/>
          <w:color w:val="000000"/>
          <w:sz w:val="28"/>
        </w:rPr>
        <w:t xml:space="preserve">- за облік і видачу довіреностей – головного спеціаліста відділу бухгалтерського обліку та звітності Бирюк Н.В.</w:t>
      </w:r>
      <w:r/>
    </w:p>
    <w:p>
      <w:pPr>
        <w:pBdr>
          <w:top w:val="none" w:color="000000" w:sz="4" w:space="0"/>
          <w:left w:val="none" w:color="000000" w:sz="4" w:space="0"/>
          <w:bottom w:val="none" w:color="000000" w:sz="4" w:space="0"/>
          <w:right w:val="none" w:color="000000" w:sz="4" w:space="0"/>
        </w:pBdr>
        <w:spacing w:after="0" w:line="228" w:lineRule="auto"/>
        <w:ind w:right="0" w:firstLine="567" w:left="0"/>
        <w:jc w:val="both"/>
        <w:rPr/>
      </w:pPr>
      <w:r>
        <w:rPr>
          <w:rFonts w:ascii="Times New Roman" w:hAnsi="Times New Roman" w:eastAsia="Times New Roman" w:cs="Times New Roman"/>
          <w:color w:val="000000"/>
          <w:sz w:val="28"/>
        </w:rPr>
        <w:t xml:space="preserve">3.3 Матеріально відповідальними особами визначити: заступників міського голови з питань діяльності виконавчих органів ради, старост, начальників відділів, водія, завідувача господарством.</w:t>
      </w:r>
      <w:r/>
    </w:p>
    <w:p>
      <w:pPr>
        <w:pBdr>
          <w:top w:val="none" w:color="000000" w:sz="4" w:space="0"/>
          <w:left w:val="none" w:color="000000" w:sz="4" w:space="0"/>
          <w:bottom w:val="none" w:color="000000" w:sz="4" w:space="0"/>
          <w:right w:val="none" w:color="000000" w:sz="4" w:space="0"/>
        </w:pBdr>
        <w:spacing w:after="0" w:line="228" w:lineRule="auto"/>
        <w:ind w:right="0" w:firstLine="708" w:left="0"/>
        <w:jc w:val="both"/>
        <w:rPr/>
      </w:pPr>
      <w:r>
        <w:rPr>
          <w:rFonts w:ascii="Times New Roman" w:hAnsi="Times New Roman" w:eastAsia="Times New Roman" w:cs="Times New Roman"/>
          <w:color w:val="000000"/>
          <w:sz w:val="28"/>
        </w:rPr>
        <w:t xml:space="preserve">4.Відповідальними за ведення бухгалтерського обліку в  Менській міській раді визначити:</w:t>
      </w:r>
      <w:r/>
    </w:p>
    <w:p>
      <w:pPr>
        <w:pBdr>
          <w:top w:val="none" w:color="000000" w:sz="4" w:space="0"/>
          <w:left w:val="none" w:color="000000" w:sz="4" w:space="0"/>
          <w:bottom w:val="none" w:color="000000" w:sz="4" w:space="0"/>
          <w:right w:val="none" w:color="000000" w:sz="4" w:space="0"/>
        </w:pBdr>
        <w:spacing w:after="0" w:line="228" w:lineRule="auto"/>
        <w:ind w:right="0" w:firstLine="708" w:left="0"/>
        <w:jc w:val="both"/>
        <w:rPr/>
      </w:pPr>
      <w:r>
        <w:rPr>
          <w:rFonts w:ascii="Times New Roman" w:hAnsi="Times New Roman" w:eastAsia="Times New Roman" w:cs="Times New Roman"/>
          <w:color w:val="000000"/>
          <w:sz w:val="28"/>
        </w:rPr>
        <w:t xml:space="preserve">4.1.Відповідно до п.3 ст.8 </w:t>
      </w:r>
      <w:r>
        <w:rPr>
          <w:rFonts w:ascii="Times New Roman" w:hAnsi="Times New Roman" w:eastAsia="Times New Roman" w:cs="Times New Roman"/>
          <w:color w:val="000000" w:themeColor="text1"/>
          <w:sz w:val="28"/>
        </w:rPr>
        <w:t xml:space="preserve">Закону України «Про бухгалтерський облік та фінансову звітність в Україні» від 16 липня 1999 р. № 996-ХIV</w:t>
      </w:r>
      <w:r>
        <w:rPr>
          <w:rFonts w:ascii="Times New Roman" w:hAnsi="Times New Roman" w:eastAsia="Times New Roman" w:cs="Times New Roman"/>
          <w:color w:val="ff0000"/>
          <w:sz w:val="28"/>
        </w:rPr>
        <w:t xml:space="preserve"> </w:t>
      </w:r>
      <w:r>
        <w:rPr>
          <w:rFonts w:ascii="Times New Roman" w:hAnsi="Times New Roman" w:eastAsia="Times New Roman" w:cs="Times New Roman"/>
          <w:color w:val="000000"/>
          <w:sz w:val="28"/>
        </w:rPr>
        <w:t xml:space="preserve">покладаю на себе відповідальність за стан бухгалтерського обліку та фінансової звітності в установі.</w:t>
      </w:r>
      <w:r/>
    </w:p>
    <w:p>
      <w:pPr>
        <w:pBdr>
          <w:top w:val="none" w:color="000000" w:sz="4" w:space="0"/>
          <w:left w:val="none" w:color="000000" w:sz="4" w:space="0"/>
          <w:bottom w:val="none" w:color="000000" w:sz="4" w:space="0"/>
          <w:right w:val="none" w:color="000000" w:sz="4" w:space="0"/>
        </w:pBdr>
        <w:spacing w:after="0" w:before="0" w:line="228" w:lineRule="auto"/>
        <w:ind w:right="0" w:firstLine="567" w:left="0"/>
        <w:jc w:val="both"/>
        <w:rPr/>
      </w:pPr>
      <w:r>
        <w:rPr>
          <w:rFonts w:ascii="Times New Roman" w:hAnsi="Times New Roman" w:eastAsia="Times New Roman" w:cs="Times New Roman"/>
          <w:color w:val="000000"/>
          <w:sz w:val="28"/>
        </w:rPr>
        <w:t xml:space="preserve">4.2.Начальник відділу бухгалтерського обліку та звітності, головний бухгалтер в межах бюджетного законодавства є відповідальним за:</w:t>
      </w:r>
      <w:r/>
    </w:p>
    <w:p>
      <w:pPr>
        <w:pBdr>
          <w:top w:val="none" w:color="000000" w:sz="4" w:space="0"/>
          <w:left w:val="none" w:color="000000" w:sz="4" w:space="0"/>
          <w:bottom w:val="none" w:color="000000" w:sz="4" w:space="0"/>
          <w:right w:val="none" w:color="000000" w:sz="4" w:space="0"/>
        </w:pBdr>
        <w:spacing w:after="0" w:before="0" w:line="228" w:lineRule="auto"/>
        <w:ind w:right="0" w:firstLine="567" w:left="0"/>
        <w:jc w:val="both"/>
        <w:rPr/>
      </w:pPr>
      <w:r>
        <w:rPr>
          <w:rFonts w:ascii="Times New Roman" w:hAnsi="Times New Roman" w:eastAsia="Times New Roman" w:cs="Times New Roman"/>
          <w:color w:val="000000"/>
          <w:sz w:val="28"/>
        </w:rPr>
        <w:t xml:space="preserve">- забезпечення дотримання установлених єдиних методологічних засад бухгалтерського обліку, складання і подання в установлені строки фінансової, бюджетної та іншої звітності;</w:t>
      </w:r>
      <w:r/>
    </w:p>
    <w:p>
      <w:pPr>
        <w:pBdr>
          <w:top w:val="none" w:color="000000" w:sz="4" w:space="0"/>
          <w:left w:val="none" w:color="000000" w:sz="4" w:space="0"/>
          <w:bottom w:val="none" w:color="000000" w:sz="4" w:space="0"/>
          <w:right w:val="none" w:color="000000" w:sz="4" w:space="0"/>
        </w:pBdr>
        <w:spacing w:after="0" w:before="0" w:line="228" w:lineRule="auto"/>
        <w:ind w:right="0" w:firstLine="567" w:left="0"/>
        <w:jc w:val="both"/>
        <w:rPr/>
      </w:pPr>
      <w:r>
        <w:rPr>
          <w:rFonts w:ascii="Times New Roman" w:hAnsi="Times New Roman" w:eastAsia="Times New Roman" w:cs="Times New Roman"/>
          <w:color w:val="000000"/>
          <w:sz w:val="28"/>
        </w:rPr>
        <w:t xml:space="preserve">- відображення на рахунках бухгалтерського обліку всіх господарських операцій;</w:t>
      </w:r>
      <w:r/>
    </w:p>
    <w:p>
      <w:pPr>
        <w:pBdr>
          <w:top w:val="none" w:color="000000" w:sz="4" w:space="0"/>
          <w:left w:val="none" w:color="000000" w:sz="4" w:space="0"/>
          <w:bottom w:val="none" w:color="000000" w:sz="4" w:space="0"/>
          <w:right w:val="none" w:color="000000" w:sz="4" w:space="0"/>
        </w:pBdr>
        <w:spacing w:after="0" w:before="0" w:line="228" w:lineRule="auto"/>
        <w:ind w:right="0" w:firstLine="567" w:left="0"/>
        <w:jc w:val="both"/>
        <w:rPr/>
      </w:pPr>
      <w:r>
        <w:rPr>
          <w:rFonts w:ascii="Times New Roman" w:hAnsi="Times New Roman" w:eastAsia="Times New Roman" w:cs="Times New Roman"/>
          <w:color w:val="000000"/>
          <w:sz w:val="28"/>
        </w:rPr>
        <w:t xml:space="preserve">- перевірки, візування документів, що є підставою для приймання та видачі товарно - матеріальних цінностей та коштів, а також розрахункових, фінансових зобов’язань.</w:t>
      </w:r>
      <w:r/>
    </w:p>
    <w:p>
      <w:pPr>
        <w:pBdr>
          <w:top w:val="none" w:color="000000" w:sz="4" w:space="0"/>
          <w:left w:val="none" w:color="000000" w:sz="4" w:space="0"/>
          <w:bottom w:val="none" w:color="000000" w:sz="4" w:space="0"/>
          <w:right w:val="none" w:color="000000" w:sz="4" w:space="0"/>
        </w:pBdr>
        <w:spacing w:after="0" w:before="0" w:line="228" w:lineRule="auto"/>
        <w:ind w:right="0" w:firstLine="567" w:left="0"/>
        <w:jc w:val="both"/>
        <w:rPr/>
      </w:pPr>
      <w:r>
        <w:rPr>
          <w:rFonts w:ascii="Times New Roman" w:hAnsi="Times New Roman" w:eastAsia="Times New Roman" w:cs="Times New Roman"/>
          <w:color w:val="000000"/>
          <w:sz w:val="28"/>
        </w:rPr>
        <w:t xml:space="preserve">4.3. Підставою для бухгалтерського обліку господарських операцій є первинні документи, які складені згідно з вимогами Положення про документальне забезпечення записів у бухгалтерському обліку, затвердженого наказом Міністерства фінансів України від 24 трав</w:t>
      </w:r>
      <w:r>
        <w:rPr>
          <w:rFonts w:ascii="Times New Roman" w:hAnsi="Times New Roman" w:eastAsia="Times New Roman" w:cs="Times New Roman"/>
          <w:color w:val="000000"/>
          <w:sz w:val="28"/>
        </w:rPr>
        <w:t xml:space="preserve">ня 1995 року № 88 та інших нормативних документів. Забороняється начальнику відділу бухгалтерського обліку та звітності приймати для обробки документи, які оформлені з порушенням вимог нормативних документів.</w:t>
      </w:r>
      <w:r/>
    </w:p>
    <w:p>
      <w:pPr>
        <w:pBdr>
          <w:top w:val="none" w:color="000000" w:sz="4" w:space="0"/>
          <w:left w:val="none" w:color="000000" w:sz="4" w:space="0"/>
          <w:bottom w:val="none" w:color="000000" w:sz="4" w:space="0"/>
          <w:right w:val="none" w:color="000000" w:sz="4" w:space="0"/>
        </w:pBdr>
        <w:spacing w:after="0" w:before="0" w:line="228" w:lineRule="auto"/>
        <w:ind w:right="0" w:firstLine="567" w:left="0"/>
        <w:jc w:val="both"/>
        <w:rPr/>
      </w:pPr>
      <w:r>
        <w:rPr>
          <w:rFonts w:ascii="Times New Roman" w:hAnsi="Times New Roman" w:eastAsia="Times New Roman" w:cs="Times New Roman"/>
          <w:color w:val="000000"/>
          <w:sz w:val="28"/>
        </w:rPr>
        <w:t xml:space="preserve">4.4.Право першого підпису фінансових документів надано:</w:t>
      </w:r>
      <w:r/>
    </w:p>
    <w:p>
      <w:pPr>
        <w:pBdr>
          <w:top w:val="none" w:color="000000" w:sz="4" w:space="0"/>
          <w:left w:val="none" w:color="000000" w:sz="4" w:space="0"/>
          <w:bottom w:val="none" w:color="000000" w:sz="4" w:space="0"/>
          <w:right w:val="none" w:color="000000" w:sz="4" w:space="0"/>
        </w:pBdr>
        <w:spacing w:after="0" w:before="0" w:line="228" w:lineRule="auto"/>
        <w:ind w:right="0" w:firstLine="567" w:left="0"/>
        <w:jc w:val="both"/>
        <w:rPr/>
      </w:pPr>
      <w:r>
        <w:rPr>
          <w:rFonts w:ascii="Times New Roman" w:hAnsi="Times New Roman" w:eastAsia="Times New Roman" w:cs="Times New Roman"/>
          <w:color w:val="000000"/>
          <w:sz w:val="28"/>
        </w:rPr>
        <w:t xml:space="preserve">- секретарю ради  Стальниченку Юрію Валерійовичу;</w:t>
      </w:r>
      <w:r/>
    </w:p>
    <w:p>
      <w:pPr>
        <w:pBdr>
          <w:top w:val="none" w:color="000000" w:sz="4" w:space="0"/>
          <w:left w:val="none" w:color="000000" w:sz="4" w:space="0"/>
          <w:bottom w:val="none" w:color="000000" w:sz="4" w:space="0"/>
          <w:right w:val="none" w:color="000000" w:sz="4" w:space="0"/>
        </w:pBdr>
        <w:spacing w:after="0" w:before="0" w:line="228" w:lineRule="auto"/>
        <w:ind w:right="0" w:firstLine="567" w:left="0"/>
        <w:jc w:val="both"/>
        <w:rPr/>
      </w:pPr>
      <w:r>
        <w:rPr>
          <w:rFonts w:ascii="Times New Roman" w:hAnsi="Times New Roman" w:eastAsia="Times New Roman" w:cs="Times New Roman"/>
          <w:color w:val="000000"/>
          <w:sz w:val="28"/>
        </w:rPr>
        <w:t xml:space="preserve">- заступнику міського голови з питань діяльності виконавчих органів ради Прищепі Вікторії Василівні;</w:t>
      </w:r>
      <w:r/>
    </w:p>
    <w:p>
      <w:pPr>
        <w:pBdr>
          <w:top w:val="none" w:color="000000" w:sz="4" w:space="0"/>
          <w:left w:val="none" w:color="000000" w:sz="4" w:space="0"/>
          <w:bottom w:val="none" w:color="000000" w:sz="4" w:space="0"/>
          <w:right w:val="none" w:color="000000" w:sz="4" w:space="0"/>
        </w:pBdr>
        <w:spacing w:after="0" w:before="0" w:line="228" w:lineRule="auto"/>
        <w:ind w:right="0" w:firstLine="567" w:left="0"/>
        <w:jc w:val="both"/>
        <w:rPr/>
      </w:pPr>
      <w:r>
        <w:rPr>
          <w:rFonts w:ascii="Times New Roman" w:hAnsi="Times New Roman" w:eastAsia="Times New Roman" w:cs="Times New Roman"/>
          <w:color w:val="000000"/>
          <w:sz w:val="28"/>
        </w:rPr>
        <w:t xml:space="preserve">-заступнику міського голови з питань діяльності виконавчих органів ради Гаєвому Сергію Миколайовичу.</w:t>
      </w:r>
      <w:r/>
    </w:p>
    <w:p>
      <w:pPr>
        <w:pBdr>
          <w:top w:val="none" w:color="000000" w:sz="4" w:space="0"/>
          <w:left w:val="none" w:color="000000" w:sz="4" w:space="0"/>
          <w:bottom w:val="none" w:color="000000" w:sz="4" w:space="0"/>
          <w:right w:val="none" w:color="000000" w:sz="4" w:space="0"/>
        </w:pBdr>
        <w:spacing w:after="0" w:before="0" w:line="228" w:lineRule="auto"/>
        <w:ind w:right="0" w:firstLine="567" w:left="0"/>
        <w:jc w:val="both"/>
        <w:rPr/>
      </w:pPr>
      <w:r>
        <w:rPr>
          <w:rFonts w:ascii="Times New Roman" w:hAnsi="Times New Roman" w:eastAsia="Times New Roman" w:cs="Times New Roman"/>
          <w:color w:val="000000"/>
          <w:sz w:val="28"/>
        </w:rPr>
        <w:t xml:space="preserve">Право другого підпису фінансових документів надано:</w:t>
      </w:r>
      <w:r/>
    </w:p>
    <w:p>
      <w:pPr>
        <w:pBdr>
          <w:top w:val="none" w:color="000000" w:sz="4" w:space="0"/>
          <w:left w:val="none" w:color="000000" w:sz="4" w:space="0"/>
          <w:bottom w:val="none" w:color="000000" w:sz="4" w:space="0"/>
          <w:right w:val="none" w:color="000000" w:sz="4" w:space="0"/>
        </w:pBdr>
        <w:spacing w:after="0" w:before="0" w:line="228" w:lineRule="auto"/>
        <w:ind w:right="0" w:firstLine="567" w:left="0"/>
        <w:jc w:val="both"/>
        <w:rPr/>
      </w:pPr>
      <w:r>
        <w:rPr>
          <w:rFonts w:ascii="Times New Roman" w:hAnsi="Times New Roman" w:eastAsia="Times New Roman" w:cs="Times New Roman"/>
          <w:color w:val="000000"/>
          <w:sz w:val="28"/>
        </w:rPr>
        <w:t xml:space="preserve">- начальнику  відділу бухгалтерського обліку та звітності, головному бухгалтеру Ємець Тетяні Олександрівні;</w:t>
      </w:r>
      <w:r/>
    </w:p>
    <w:p>
      <w:pPr>
        <w:pBdr>
          <w:top w:val="none" w:color="000000" w:sz="4" w:space="0"/>
          <w:left w:val="none" w:color="000000" w:sz="4" w:space="0"/>
          <w:bottom w:val="none" w:color="000000" w:sz="4" w:space="0"/>
          <w:right w:val="none" w:color="000000" w:sz="4" w:space="0"/>
        </w:pBdr>
        <w:spacing w:after="0" w:before="0" w:line="228" w:lineRule="auto"/>
        <w:ind w:right="0" w:firstLine="567" w:left="0"/>
        <w:jc w:val="both"/>
        <w:rPr/>
      </w:pPr>
      <w:r>
        <w:rPr>
          <w:rFonts w:ascii="Times New Roman" w:hAnsi="Times New Roman" w:eastAsia="Times New Roman" w:cs="Times New Roman"/>
          <w:color w:val="000000"/>
          <w:sz w:val="28"/>
        </w:rPr>
        <w:t xml:space="preserve">- заступнику начальника відділу бухгалтерського обліку та звітності Крамаренко Валентині Віталіївні;</w:t>
      </w:r>
      <w:r/>
    </w:p>
    <w:p>
      <w:pPr>
        <w:pBdr>
          <w:top w:val="none" w:color="000000" w:sz="4" w:space="0"/>
          <w:left w:val="none" w:color="000000" w:sz="4" w:space="0"/>
          <w:bottom w:val="none" w:color="000000" w:sz="4" w:space="0"/>
          <w:right w:val="none" w:color="000000" w:sz="4" w:space="0"/>
        </w:pBdr>
        <w:spacing w:after="0" w:before="0" w:line="228" w:lineRule="auto"/>
        <w:ind w:right="0" w:firstLine="567" w:left="0"/>
        <w:jc w:val="both"/>
        <w:rPr/>
      </w:pPr>
      <w:r>
        <w:rPr>
          <w:rFonts w:ascii="Times New Roman" w:hAnsi="Times New Roman" w:eastAsia="Times New Roman" w:cs="Times New Roman"/>
          <w:color w:val="000000"/>
          <w:sz w:val="28"/>
        </w:rPr>
        <w:t xml:space="preserve">- головному спеціалісту відділу бухгалтерського обліку та звітності Бирюк Наталії Вікторівні.</w:t>
      </w:r>
      <w:r/>
    </w:p>
    <w:p>
      <w:pPr>
        <w:pBdr>
          <w:top w:val="none" w:color="000000" w:sz="4" w:space="0"/>
          <w:left w:val="none" w:color="000000" w:sz="4" w:space="0"/>
          <w:bottom w:val="none" w:color="000000" w:sz="4" w:space="0"/>
          <w:right w:val="none" w:color="000000" w:sz="4" w:space="0"/>
        </w:pBdr>
        <w:spacing w:after="0" w:before="0" w:line="228" w:lineRule="auto"/>
        <w:ind w:right="0" w:firstLine="567" w:left="0"/>
        <w:jc w:val="both"/>
        <w:rPr/>
      </w:pPr>
      <w:r>
        <w:rPr>
          <w:rFonts w:ascii="Times New Roman" w:hAnsi="Times New Roman" w:eastAsia="Times New Roman" w:cs="Times New Roman"/>
          <w:color w:val="000000"/>
          <w:sz w:val="28"/>
        </w:rPr>
        <w:t xml:space="preserve">5. У разі виправлення суттєвих помилок, які відносяться до попередніх періодів, та повторного складання фінансової звітності встановлюється поріг суттєвої помилки в розмірі 0,001% відповідно до підсумку балансу.</w:t>
      </w:r>
      <w:r/>
    </w:p>
    <w:p>
      <w:pPr>
        <w:pBdr>
          <w:top w:val="none" w:color="000000" w:sz="4" w:space="0"/>
          <w:left w:val="none" w:color="000000" w:sz="4" w:space="0"/>
          <w:bottom w:val="none" w:color="000000" w:sz="4" w:space="0"/>
          <w:right w:val="none" w:color="000000" w:sz="4" w:space="0"/>
        </w:pBdr>
        <w:spacing w:after="0" w:before="0" w:line="228" w:lineRule="auto"/>
        <w:ind w:right="0" w:firstLine="567" w:left="0"/>
        <w:jc w:val="both"/>
        <w:rPr/>
      </w:pPr>
      <w:r>
        <w:rPr>
          <w:rFonts w:ascii="Times New Roman" w:hAnsi="Times New Roman" w:eastAsia="Times New Roman" w:cs="Times New Roman"/>
          <w:color w:val="000000"/>
          <w:sz w:val="28"/>
        </w:rPr>
        <w:t xml:space="preserve">6. Розпорядження застосовувати до правовідносин, які виникли з 01 січня 2026 року.</w:t>
      </w:r>
      <w:r/>
    </w:p>
    <w:p>
      <w:pPr>
        <w:pBdr>
          <w:top w:val="none" w:color="000000" w:sz="4" w:space="0"/>
          <w:left w:val="none" w:color="000000" w:sz="4" w:space="0"/>
          <w:bottom w:val="none" w:color="000000" w:sz="4" w:space="0"/>
          <w:right w:val="none" w:color="000000" w:sz="4" w:space="0"/>
        </w:pBdr>
        <w:spacing w:after="0" w:before="0" w:line="228" w:lineRule="auto"/>
        <w:ind w:right="0" w:firstLine="567" w:left="0"/>
        <w:jc w:val="both"/>
        <w:rPr/>
      </w:pPr>
      <w:r>
        <w:rPr>
          <w:rFonts w:ascii="Times New Roman" w:hAnsi="Times New Roman" w:eastAsia="Times New Roman" w:cs="Times New Roman"/>
          <w:color w:val="000000"/>
          <w:sz w:val="28"/>
        </w:rPr>
        <w:t xml:space="preserve">7. Контроль за виконанням розпорядження покласти на заступника міського голови з питань діяльності виконавчих органів ради C.М. Гаєвого.</w:t>
      </w:r>
      <w:r/>
    </w:p>
    <w:p>
      <w:pPr>
        <w:pBdr>
          <w:top w:val="none" w:color="000000" w:sz="4" w:space="0"/>
          <w:left w:val="none" w:color="000000" w:sz="4" w:space="0"/>
          <w:bottom w:val="none" w:color="000000" w:sz="4" w:space="0"/>
          <w:right w:val="none" w:color="000000" w:sz="4" w:space="0"/>
        </w:pBdr>
        <w:spacing w:after="0" w:before="0" w:line="228" w:lineRule="auto"/>
        <w:ind w:right="0" w:firstLine="567" w:left="0"/>
        <w:jc w:val="both"/>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spacing w:after="0" w:before="0" w:line="228" w:lineRule="auto"/>
        <w:ind w:right="0" w:firstLine="567" w:left="0"/>
        <w:jc w:val="both"/>
        <w:rPr/>
      </w:pPr>
      <w:r>
        <w:rPr>
          <w:rFonts w:ascii="Times New Roman" w:hAnsi="Times New Roman" w:eastAsia="Times New Roman" w:cs="Times New Roman"/>
          <w:color w:val="000000"/>
          <w:sz w:val="24"/>
        </w:rPr>
        <w:t xml:space="preserve"> </w:t>
      </w:r>
      <w:r/>
    </w:p>
    <w:p>
      <w:pPr>
        <w:pBdr>
          <w:top w:val="none" w:color="000000" w:sz="4" w:space="0"/>
          <w:left w:val="none" w:color="000000" w:sz="4" w:space="0"/>
          <w:bottom w:val="none" w:color="000000" w:sz="4" w:space="0"/>
          <w:right w:val="none" w:color="000000" w:sz="4" w:space="0"/>
        </w:pBdr>
        <w:spacing w:after="0" w:before="0" w:line="228" w:lineRule="auto"/>
        <w:ind w:right="0" w:firstLine="0" w:left="0"/>
        <w:rPr/>
      </w:pPr>
      <w:r>
        <w:rPr>
          <w:rFonts w:ascii="Times New Roman" w:hAnsi="Times New Roman" w:eastAsia="Times New Roman" w:cs="Times New Roman"/>
          <w:color w:val="000000"/>
          <w:sz w:val="28"/>
        </w:rPr>
        <w:t xml:space="preserve">Секретар ради                                                                    Юрій СТАЛЬНИЧЕНКО</w:t>
      </w:r>
      <w:r/>
    </w:p>
    <w:p>
      <w:pPr>
        <w:pBdr>
          <w:top w:val="none" w:color="000000" w:sz="4" w:space="0"/>
          <w:left w:val="none" w:color="000000" w:sz="4" w:space="0"/>
          <w:bottom w:val="none" w:color="000000" w:sz="4" w:space="0"/>
          <w:right w:val="none" w:color="000000" w:sz="4" w:space="0"/>
        </w:pBdr>
        <w:spacing w:after="0" w:before="0"/>
        <w:ind w:right="0" w:firstLine="567" w:left="0"/>
        <w:jc w:val="both"/>
        <w:rPr/>
      </w:pPr>
      <w:r>
        <w:rPr>
          <w:rFonts w:ascii="Times New Roman" w:hAnsi="Times New Roman" w:eastAsia="Times New Roman" w:cs="Times New Roman"/>
          <w:color w:val="000000"/>
          <w:sz w:val="24"/>
        </w:rPr>
        <w:t xml:space="preserve"> </w:t>
      </w:r>
      <w:r/>
    </w:p>
    <w:p>
      <w:pPr>
        <w:pBdr>
          <w:top w:val="none" w:color="000000" w:sz="4" w:space="0"/>
          <w:left w:val="none" w:color="000000" w:sz="4" w:space="0"/>
          <w:bottom w:val="none" w:color="000000" w:sz="4" w:space="0"/>
          <w:right w:val="none" w:color="000000" w:sz="4" w:space="0"/>
        </w:pBdr>
        <w:spacing w:line="235" w:lineRule="atLeast"/>
        <w:ind w:right="0" w:firstLine="0" w:left="0"/>
        <w:rPr>
          <w:rFonts w:ascii="Calibri" w:hAnsi="Calibri" w:eastAsia="Calibri" w:cs="Calibri"/>
          <w:color w:val="000000"/>
          <w:sz w:val="22"/>
          <w:szCs w:val="22"/>
          <w:highlight w:val="none"/>
        </w:rPr>
      </w:pPr>
      <w:r>
        <w:rPr>
          <w:rFonts w:ascii="Calibri" w:hAnsi="Calibri" w:eastAsia="Calibri" w:cs="Calibri"/>
          <w:color w:val="000000"/>
          <w:sz w:val="22"/>
        </w:rPr>
        <w:t xml:space="preserve"> </w:t>
      </w:r>
      <w:r>
        <w:rPr>
          <w:rFonts w:ascii="Calibri" w:hAnsi="Calibri" w:eastAsia="Calibri" w:cs="Calibri"/>
          <w:color w:val="000000"/>
          <w:sz w:val="22"/>
          <w:szCs w:val="22"/>
          <w:highlight w:val="none"/>
        </w:rPr>
      </w:r>
      <w:r>
        <w:rPr>
          <w:rFonts w:ascii="Calibri" w:hAnsi="Calibri" w:eastAsia="Calibri" w:cs="Calibri"/>
          <w:color w:val="000000"/>
          <w:sz w:val="22"/>
          <w:szCs w:val="22"/>
          <w:highlight w:val="none"/>
        </w:rPr>
      </w:r>
    </w:p>
    <w:p>
      <w:pPr>
        <w:pBdr>
          <w:top w:val="none" w:color="000000" w:sz="4" w:space="0"/>
          <w:left w:val="none" w:color="000000" w:sz="4" w:space="0"/>
          <w:bottom w:val="none" w:color="000000" w:sz="4" w:space="0"/>
          <w:right w:val="none" w:color="000000" w:sz="4" w:space="0"/>
        </w:pBdr>
        <w:spacing w:line="235" w:lineRule="atLeast"/>
        <w:ind w:right="0" w:firstLine="0" w:left="0"/>
        <w:rPr/>
      </w:pPr>
      <w:r/>
      <w:r/>
    </w:p>
    <w:p>
      <w:pPr>
        <w:pBdr>
          <w:top w:val="none" w:color="000000" w:sz="4" w:space="0"/>
          <w:left w:val="none" w:color="000000" w:sz="4" w:space="0"/>
          <w:bottom w:val="none" w:color="000000" w:sz="4" w:space="0"/>
          <w:right w:val="none" w:color="000000" w:sz="4" w:space="0"/>
        </w:pBdr>
        <w:spacing w:line="235" w:lineRule="atLeast"/>
        <w:ind w:right="0" w:firstLine="0" w:left="0"/>
        <w:rPr/>
      </w:pPr>
      <w:r/>
      <w:r/>
    </w:p>
    <w:p>
      <w:pPr>
        <w:pBdr>
          <w:top w:val="none" w:color="000000" w:sz="4" w:space="0"/>
          <w:left w:val="none" w:color="000000" w:sz="4" w:space="0"/>
          <w:bottom w:val="none" w:color="000000" w:sz="4" w:space="0"/>
          <w:right w:val="none" w:color="000000" w:sz="4" w:space="0"/>
        </w:pBdr>
        <w:spacing w:line="235" w:lineRule="atLeast"/>
        <w:ind w:right="0" w:firstLine="0" w:left="0"/>
        <w:rPr/>
      </w:pPr>
      <w:r/>
      <w:r/>
    </w:p>
    <w:p>
      <w:pPr>
        <w:pBdr>
          <w:top w:val="none" w:color="000000" w:sz="4" w:space="0"/>
          <w:left w:val="none" w:color="000000" w:sz="4" w:space="0"/>
          <w:bottom w:val="none" w:color="000000" w:sz="4" w:space="0"/>
          <w:right w:val="none" w:color="000000" w:sz="4" w:space="0"/>
        </w:pBdr>
        <w:spacing w:line="235" w:lineRule="atLeast"/>
        <w:ind w:right="0" w:firstLine="0" w:left="0"/>
        <w:rPr/>
      </w:pPr>
      <w:r>
        <w:rPr>
          <w:rFonts w:ascii="Calibri" w:hAnsi="Calibri" w:eastAsia="Calibri" w:cs="Calibri"/>
          <w:color w:val="000000"/>
          <w:sz w:val="22"/>
          <w:highlight w:val="none"/>
        </w:rPr>
      </w:r>
      <w:r>
        <w:rPr>
          <w:rFonts w:ascii="Calibri" w:hAnsi="Calibri" w:eastAsia="Calibri" w:cs="Calibri"/>
          <w:color w:val="000000"/>
          <w:sz w:val="22"/>
          <w:highlight w:val="none"/>
        </w:rPr>
      </w:r>
      <w:r/>
    </w:p>
    <w:p>
      <w:pPr>
        <w:pBdr>
          <w:top w:val="none" w:color="000000" w:sz="4" w:space="0"/>
          <w:left w:val="none" w:color="000000" w:sz="4" w:space="0"/>
          <w:bottom w:val="none" w:color="000000" w:sz="4" w:space="0"/>
          <w:right w:val="none" w:color="000000" w:sz="4" w:space="0"/>
        </w:pBdr>
        <w:spacing w:line="235" w:lineRule="atLeast"/>
        <w:ind w:right="0" w:firstLine="0" w:left="0"/>
        <w:rPr/>
      </w:pPr>
      <w:r>
        <w:rPr>
          <w:rFonts w:ascii="Calibri" w:hAnsi="Calibri" w:eastAsia="Calibri" w:cs="Calibri"/>
          <w:color w:val="000000"/>
          <w:sz w:val="22"/>
        </w:rPr>
        <w:t xml:space="preserve"> </w:t>
      </w:r>
      <w:r/>
    </w:p>
    <w:p>
      <w:pPr>
        <w:pBdr>
          <w:top w:val="none" w:color="000000" w:sz="4" w:space="0"/>
          <w:left w:val="none" w:color="000000" w:sz="4" w:space="0"/>
          <w:bottom w:val="none" w:color="000000" w:sz="4" w:space="0"/>
          <w:right w:val="none" w:color="000000" w:sz="4" w:space="0"/>
        </w:pBdr>
        <w:spacing w:line="235" w:lineRule="atLeast"/>
        <w:ind w:right="0" w:firstLine="0" w:left="0"/>
        <w:rPr/>
      </w:pPr>
      <w:r>
        <w:rPr>
          <w:rFonts w:ascii="Times New Roman" w:hAnsi="Times New Roman" w:eastAsia="Times New Roman" w:cs="Times New Roman"/>
          <w:color w:val="000000"/>
          <w:sz w:val="28"/>
        </w:rPr>
        <w:t xml:space="preserve">З розпорядженням ознайомлені:</w:t>
      </w:r>
      <w:r/>
    </w:p>
    <w:tbl>
      <w:tblPr>
        <w:tblStyle w:val="869"/>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3713"/>
        <w:gridCol w:w="2407"/>
        <w:gridCol w:w="3234"/>
      </w:tblGrid>
      <w:tr>
        <w:trPr/>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3713" w:type="dxa"/>
            <w:vAlign w:val="top"/>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0" w:before="0"/>
              <w:ind w:right="0" w:firstLine="0" w:left="0"/>
              <w:jc w:val="both"/>
              <w:rPr/>
            </w:pPr>
            <w:r>
              <w:rPr>
                <w:rFonts w:ascii="Times New Roman" w:hAnsi="Times New Roman" w:eastAsia="Times New Roman" w:cs="Times New Roman"/>
                <w:color w:val="202020"/>
                <w:sz w:val="28"/>
              </w:rPr>
              <w:t xml:space="preserve">Секретар ради</w:t>
            </w:r>
            <w:r/>
          </w:p>
        </w:tc>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2407" w:type="dxa"/>
            <w:vAlign w:val="top"/>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0" w:before="0"/>
              <w:ind w:right="0" w:firstLine="0" w:left="0"/>
              <w:jc w:val="both"/>
              <w:rPr/>
            </w:pPr>
            <w:r>
              <w:rPr>
                <w:rFonts w:ascii="Times New Roman" w:hAnsi="Times New Roman" w:eastAsia="Times New Roman" w:cs="Times New Roman"/>
                <w:color w:val="202020"/>
                <w:sz w:val="28"/>
              </w:rPr>
              <w:t xml:space="preserve"> </w:t>
            </w:r>
            <w:r/>
          </w:p>
        </w:tc>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3234" w:type="dxa"/>
            <w:vAlign w:val="top"/>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0" w:before="0"/>
              <w:ind w:right="0" w:firstLine="0" w:left="0"/>
              <w:jc w:val="both"/>
              <w:rPr/>
            </w:pPr>
            <w:r>
              <w:rPr>
                <w:rFonts w:ascii="Times New Roman" w:hAnsi="Times New Roman" w:eastAsia="Times New Roman" w:cs="Times New Roman"/>
                <w:color w:val="202020"/>
                <w:sz w:val="28"/>
              </w:rPr>
              <w:t xml:space="preserve">Юрій СТАЛЬНИЧЕНКО</w:t>
            </w:r>
            <w:r/>
          </w:p>
          <w:p>
            <w:pPr>
              <w:pBdr>
                <w:top w:val="none" w:color="000000" w:sz="4" w:space="0"/>
                <w:left w:val="none" w:color="000000" w:sz="4" w:space="0"/>
                <w:bottom w:val="none" w:color="000000" w:sz="4" w:space="0"/>
                <w:right w:val="none" w:color="000000" w:sz="4" w:space="0"/>
                <w:between w:val="none" w:color="000000" w:sz="4" w:space="0"/>
              </w:pBdr>
              <w:spacing w:after="0" w:before="0"/>
              <w:ind w:right="0" w:firstLine="0" w:left="0"/>
              <w:jc w:val="both"/>
              <w:rPr/>
            </w:pPr>
            <w:r>
              <w:rPr>
                <w:rFonts w:ascii="Times New Roman" w:hAnsi="Times New Roman" w:eastAsia="Times New Roman" w:cs="Times New Roman"/>
                <w:color w:val="202020"/>
                <w:sz w:val="28"/>
              </w:rPr>
              <w:t xml:space="preserve"> </w:t>
            </w:r>
            <w:r/>
          </w:p>
        </w:tc>
      </w:tr>
      <w:tr>
        <w:trPr/>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3713" w:type="dxa"/>
            <w:vAlign w:val="top"/>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0" w:before="0"/>
              <w:ind w:right="0" w:firstLine="0" w:left="0"/>
              <w:jc w:val="both"/>
              <w:rPr/>
            </w:pPr>
            <w:r>
              <w:rPr>
                <w:rFonts w:ascii="Times New Roman" w:hAnsi="Times New Roman" w:eastAsia="Times New Roman" w:cs="Times New Roman"/>
                <w:color w:val="202020"/>
                <w:sz w:val="28"/>
              </w:rPr>
              <w:t xml:space="preserve">Заступник міського голови з питань діяльності виконавчих органів ради</w:t>
            </w:r>
            <w:r/>
          </w:p>
          <w:p>
            <w:pPr>
              <w:pBdr>
                <w:top w:val="none" w:color="000000" w:sz="4" w:space="0"/>
                <w:left w:val="none" w:color="000000" w:sz="4" w:space="0"/>
                <w:bottom w:val="none" w:color="000000" w:sz="4" w:space="0"/>
                <w:right w:val="none" w:color="000000" w:sz="4" w:space="0"/>
                <w:between w:val="none" w:color="000000" w:sz="4" w:space="0"/>
              </w:pBdr>
              <w:spacing w:after="0" w:before="0"/>
              <w:ind w:right="0" w:firstLine="0" w:left="0"/>
              <w:jc w:val="both"/>
              <w:rPr/>
            </w:pPr>
            <w:r>
              <w:rPr>
                <w:rFonts w:ascii="Times New Roman" w:hAnsi="Times New Roman" w:eastAsia="Times New Roman" w:cs="Times New Roman"/>
                <w:color w:val="202020"/>
                <w:sz w:val="28"/>
              </w:rPr>
              <w:t xml:space="preserve"> </w:t>
            </w:r>
            <w:r/>
          </w:p>
          <w:p>
            <w:pPr>
              <w:pBdr>
                <w:top w:val="none" w:color="000000" w:sz="4" w:space="0"/>
                <w:left w:val="none" w:color="000000" w:sz="4" w:space="0"/>
                <w:bottom w:val="none" w:color="000000" w:sz="4" w:space="0"/>
                <w:right w:val="none" w:color="000000" w:sz="4" w:space="0"/>
                <w:between w:val="none" w:color="000000" w:sz="4" w:space="0"/>
              </w:pBdr>
              <w:spacing w:after="0" w:before="0"/>
              <w:ind w:right="0" w:firstLine="0" w:left="0"/>
              <w:jc w:val="both"/>
              <w:rPr/>
            </w:pPr>
            <w:r>
              <w:rPr>
                <w:rFonts w:ascii="Times New Roman" w:hAnsi="Times New Roman" w:eastAsia="Times New Roman" w:cs="Times New Roman"/>
                <w:color w:val="202020"/>
                <w:sz w:val="28"/>
              </w:rPr>
              <w:t xml:space="preserve">Заступник міського голови з питань діяльності виконавчих органів ради                                        </w:t>
            </w:r>
            <w:r/>
          </w:p>
          <w:p>
            <w:pPr>
              <w:pBdr>
                <w:top w:val="none" w:color="000000" w:sz="4" w:space="0"/>
                <w:left w:val="none" w:color="000000" w:sz="4" w:space="0"/>
                <w:bottom w:val="none" w:color="000000" w:sz="4" w:space="0"/>
                <w:right w:val="none" w:color="000000" w:sz="4" w:space="0"/>
                <w:between w:val="none" w:color="000000" w:sz="4" w:space="0"/>
              </w:pBdr>
              <w:spacing w:after="0" w:before="0"/>
              <w:ind w:right="0" w:firstLine="0" w:left="0"/>
              <w:jc w:val="both"/>
              <w:rPr/>
            </w:pPr>
            <w:r>
              <w:rPr>
                <w:rFonts w:ascii="Times New Roman" w:hAnsi="Times New Roman" w:eastAsia="Times New Roman" w:cs="Times New Roman"/>
                <w:color w:val="202020"/>
                <w:sz w:val="28"/>
              </w:rPr>
              <w:t xml:space="preserve"> </w:t>
            </w:r>
            <w:r/>
          </w:p>
          <w:p>
            <w:pPr>
              <w:pBdr>
                <w:top w:val="none" w:color="000000" w:sz="4" w:space="0"/>
                <w:left w:val="none" w:color="000000" w:sz="4" w:space="0"/>
                <w:bottom w:val="none" w:color="000000" w:sz="4" w:space="0"/>
                <w:right w:val="none" w:color="000000" w:sz="4" w:space="0"/>
                <w:between w:val="none" w:color="000000" w:sz="4" w:space="0"/>
              </w:pBdr>
              <w:spacing w:after="0" w:before="0"/>
              <w:ind w:right="0" w:firstLine="0" w:left="0"/>
              <w:jc w:val="both"/>
              <w:rPr/>
            </w:pPr>
            <w:r>
              <w:rPr>
                <w:rFonts w:ascii="Times New Roman" w:hAnsi="Times New Roman" w:eastAsia="Times New Roman" w:cs="Times New Roman"/>
                <w:color w:val="202020"/>
                <w:sz w:val="28"/>
              </w:rPr>
              <w:t xml:space="preserve"> </w:t>
            </w:r>
            <w:r/>
          </w:p>
        </w:tc>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2407" w:type="dxa"/>
            <w:vAlign w:val="top"/>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0" w:before="0"/>
              <w:ind w:right="0" w:firstLine="0" w:left="0"/>
              <w:jc w:val="both"/>
              <w:rPr/>
            </w:pPr>
            <w:r>
              <w:rPr>
                <w:rFonts w:ascii="Times New Roman" w:hAnsi="Times New Roman" w:eastAsia="Times New Roman" w:cs="Times New Roman"/>
                <w:color w:val="202020"/>
                <w:sz w:val="28"/>
              </w:rPr>
              <w:t xml:space="preserve"> </w:t>
            </w:r>
            <w:r/>
          </w:p>
        </w:tc>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3234" w:type="dxa"/>
            <w:vAlign w:val="top"/>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0" w:before="0"/>
              <w:ind w:right="0" w:firstLine="0" w:left="0"/>
              <w:jc w:val="both"/>
              <w:rPr/>
            </w:pPr>
            <w:r>
              <w:rPr>
                <w:rFonts w:ascii="Times New Roman" w:hAnsi="Times New Roman" w:eastAsia="Times New Roman" w:cs="Times New Roman"/>
                <w:color w:val="202020"/>
                <w:sz w:val="28"/>
              </w:rPr>
              <w:t xml:space="preserve">Сергій ГАЄВОЙ</w:t>
            </w:r>
            <w:r/>
          </w:p>
          <w:p>
            <w:pPr>
              <w:pBdr>
                <w:top w:val="none" w:color="000000" w:sz="4" w:space="0"/>
                <w:left w:val="none" w:color="000000" w:sz="4" w:space="0"/>
                <w:bottom w:val="none" w:color="000000" w:sz="4" w:space="0"/>
                <w:right w:val="none" w:color="000000" w:sz="4" w:space="0"/>
              </w:pBdr>
              <w:spacing w:after="0"/>
              <w:ind w:right="0" w:firstLine="0" w:left="0"/>
              <w:rPr/>
            </w:pPr>
            <w:r>
              <w:rPr>
                <w:rFonts w:ascii="Calibri" w:hAnsi="Calibri" w:eastAsia="Calibri" w:cs="Calibri"/>
                <w:color w:val="000000"/>
                <w:sz w:val="22"/>
              </w:rPr>
              <w:t xml:space="preserve"> </w:t>
            </w:r>
            <w:r/>
          </w:p>
          <w:p>
            <w:pPr>
              <w:pBdr>
                <w:top w:val="none" w:color="000000" w:sz="4" w:space="0"/>
                <w:left w:val="none" w:color="000000" w:sz="4" w:space="0"/>
                <w:bottom w:val="none" w:color="000000" w:sz="4" w:space="0"/>
                <w:right w:val="none" w:color="000000" w:sz="4" w:space="0"/>
              </w:pBdr>
              <w:spacing w:after="0"/>
              <w:ind w:right="0" w:firstLine="0" w:left="0"/>
              <w:rPr/>
            </w:pPr>
            <w:r>
              <w:rPr>
                <w:rFonts w:ascii="Calibri" w:hAnsi="Calibri" w:eastAsia="Calibri" w:cs="Calibri"/>
                <w:color w:val="000000"/>
                <w:sz w:val="22"/>
              </w:rPr>
              <w:t xml:space="preserve"> </w:t>
            </w:r>
            <w:r/>
          </w:p>
          <w:p>
            <w:pPr>
              <w:pBdr>
                <w:top w:val="none" w:color="000000" w:sz="4" w:space="0"/>
                <w:left w:val="none" w:color="000000" w:sz="4" w:space="0"/>
                <w:bottom w:val="none" w:color="000000" w:sz="4" w:space="0"/>
                <w:right w:val="none" w:color="000000" w:sz="4" w:space="0"/>
              </w:pBdr>
              <w:spacing w:after="0"/>
              <w:ind w:right="0" w:firstLine="0" w:left="0"/>
              <w:rPr/>
            </w:pPr>
            <w:r>
              <w:rPr>
                <w:rFonts w:ascii="Calibri" w:hAnsi="Calibri" w:eastAsia="Calibri" w:cs="Calibri"/>
                <w:color w:val="000000"/>
                <w:sz w:val="22"/>
              </w:rPr>
              <w:t xml:space="preserve"> </w:t>
            </w:r>
            <w:r/>
          </w:p>
          <w:p>
            <w:pPr>
              <w:pBdr>
                <w:top w:val="none" w:color="000000" w:sz="4" w:space="0"/>
                <w:left w:val="none" w:color="000000" w:sz="4" w:space="0"/>
                <w:bottom w:val="none" w:color="000000" w:sz="4" w:space="0"/>
                <w:right w:val="none" w:color="000000" w:sz="4" w:space="0"/>
              </w:pBdr>
              <w:spacing w:after="0"/>
              <w:ind w:right="0" w:firstLine="0" w:left="0"/>
              <w:rPr/>
            </w:pPr>
            <w:r>
              <w:rPr>
                <w:rFonts w:ascii="Calibri" w:hAnsi="Calibri" w:eastAsia="Calibri" w:cs="Calibri"/>
                <w:color w:val="000000"/>
                <w:sz w:val="22"/>
              </w:rPr>
              <w:t xml:space="preserve"> </w:t>
            </w:r>
            <w:r/>
          </w:p>
          <w:p>
            <w:pPr>
              <w:pBdr>
                <w:top w:val="none" w:color="000000" w:sz="4" w:space="0"/>
                <w:left w:val="none" w:color="000000" w:sz="4" w:space="0"/>
                <w:bottom w:val="none" w:color="000000" w:sz="4" w:space="0"/>
                <w:right w:val="none" w:color="000000" w:sz="4" w:space="0"/>
              </w:pBdr>
              <w:spacing w:after="0"/>
              <w:ind w:right="0" w:firstLine="0" w:left="0"/>
              <w:rPr/>
            </w:pPr>
            <w:r>
              <w:rPr>
                <w:rFonts w:ascii="Calibri" w:hAnsi="Calibri" w:eastAsia="Calibri" w:cs="Calibri"/>
                <w:color w:val="000000"/>
                <w:sz w:val="22"/>
              </w:rPr>
              <w:t xml:space="preserve"> </w:t>
            </w:r>
            <w:r/>
          </w:p>
          <w:p>
            <w:pPr>
              <w:pBdr>
                <w:top w:val="none" w:color="000000" w:sz="4" w:space="0"/>
                <w:left w:val="none" w:color="000000" w:sz="4" w:space="0"/>
                <w:bottom w:val="none" w:color="000000" w:sz="4" w:space="0"/>
                <w:right w:val="none" w:color="000000" w:sz="4" w:space="0"/>
              </w:pBdr>
              <w:spacing w:after="0"/>
              <w:ind w:right="0" w:firstLine="0" w:left="0"/>
              <w:rPr/>
            </w:pPr>
            <w:r>
              <w:rPr>
                <w:rFonts w:ascii="Calibri" w:hAnsi="Calibri" w:eastAsia="Calibri" w:cs="Calibri"/>
                <w:color w:val="000000"/>
                <w:sz w:val="22"/>
              </w:rPr>
              <w:t xml:space="preserve"> </w:t>
            </w:r>
            <w:r>
              <w:rPr>
                <w:rFonts w:ascii="Times New Roman" w:hAnsi="Times New Roman" w:eastAsia="Times New Roman" w:cs="Times New Roman"/>
                <w:color w:val="000000"/>
                <w:sz w:val="28"/>
              </w:rPr>
              <w:t xml:space="preserve">Вікторія ПРИЩЕПА</w:t>
            </w:r>
            <w:r>
              <w:rPr>
                <w:rFonts w:ascii="Calibri" w:hAnsi="Calibri" w:eastAsia="Calibri" w:cs="Calibri"/>
                <w:sz w:val="22"/>
              </w:rPr>
            </w:r>
            <w:r/>
          </w:p>
        </w:tc>
      </w:tr>
      <w:tr>
        <w:trPr/>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3713" w:type="dxa"/>
            <w:vAlign w:val="top"/>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0" w:before="0"/>
              <w:ind w:right="0" w:firstLine="0" w:left="0"/>
              <w:jc w:val="both"/>
              <w:rPr/>
            </w:pPr>
            <w:r>
              <w:rPr>
                <w:rFonts w:ascii="Times New Roman" w:hAnsi="Times New Roman" w:eastAsia="Times New Roman" w:cs="Times New Roman"/>
                <w:color w:val="202020"/>
                <w:sz w:val="28"/>
              </w:rPr>
              <w:t xml:space="preserve">Начальник відділу бухгалтерського обліку та звітності, головний бухгалтер</w:t>
            </w:r>
            <w:r/>
          </w:p>
          <w:p>
            <w:pPr>
              <w:pBdr>
                <w:top w:val="none" w:color="000000" w:sz="4" w:space="0"/>
                <w:left w:val="none" w:color="000000" w:sz="4" w:space="0"/>
                <w:bottom w:val="none" w:color="000000" w:sz="4" w:space="0"/>
                <w:right w:val="none" w:color="000000" w:sz="4" w:space="0"/>
                <w:between w:val="none" w:color="000000" w:sz="4" w:space="0"/>
              </w:pBdr>
              <w:spacing w:after="0" w:before="0"/>
              <w:ind w:right="0" w:firstLine="0" w:left="0"/>
              <w:jc w:val="both"/>
              <w:rPr/>
            </w:pPr>
            <w:r>
              <w:rPr>
                <w:rFonts w:ascii="Times New Roman" w:hAnsi="Times New Roman" w:eastAsia="Times New Roman" w:cs="Times New Roman"/>
                <w:color w:val="202020"/>
                <w:sz w:val="28"/>
              </w:rPr>
              <w:t xml:space="preserve"> </w:t>
            </w:r>
            <w:r/>
          </w:p>
        </w:tc>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2407" w:type="dxa"/>
            <w:vAlign w:val="top"/>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0" w:before="0"/>
              <w:ind w:right="0" w:firstLine="0" w:left="0"/>
              <w:jc w:val="both"/>
              <w:rPr/>
            </w:pPr>
            <w:r>
              <w:rPr>
                <w:rFonts w:ascii="Times New Roman" w:hAnsi="Times New Roman" w:eastAsia="Times New Roman" w:cs="Times New Roman"/>
                <w:color w:val="202020"/>
                <w:sz w:val="28"/>
              </w:rPr>
              <w:t xml:space="preserve"> </w:t>
            </w:r>
            <w:r/>
          </w:p>
        </w:tc>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3234" w:type="dxa"/>
            <w:vAlign w:val="top"/>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0" w:before="0"/>
              <w:ind w:right="0" w:firstLine="0" w:left="0"/>
              <w:jc w:val="both"/>
              <w:rPr/>
            </w:pPr>
            <w:r>
              <w:rPr>
                <w:rFonts w:ascii="Times New Roman" w:hAnsi="Times New Roman" w:eastAsia="Times New Roman" w:cs="Times New Roman"/>
                <w:color w:val="202020"/>
                <w:sz w:val="28"/>
              </w:rPr>
              <w:t xml:space="preserve">Тетяна ЄМЕЦЬ</w:t>
            </w:r>
            <w:r/>
          </w:p>
        </w:tc>
      </w:tr>
      <w:tr>
        <w:trPr/>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3713" w:type="dxa"/>
            <w:vAlign w:val="top"/>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0" w:before="0"/>
              <w:ind w:right="0" w:firstLine="0" w:left="0"/>
              <w:jc w:val="both"/>
              <w:rPr/>
            </w:pPr>
            <w:r>
              <w:rPr>
                <w:rFonts w:ascii="Times New Roman" w:hAnsi="Times New Roman" w:eastAsia="Times New Roman" w:cs="Times New Roman"/>
                <w:color w:val="202020"/>
                <w:sz w:val="28"/>
              </w:rPr>
              <w:t xml:space="preserve">Заступник начальника відділу бухгалтерського обліку та звітності</w:t>
            </w:r>
            <w:r/>
          </w:p>
          <w:p>
            <w:pPr>
              <w:pBdr>
                <w:top w:val="none" w:color="000000" w:sz="4" w:space="0"/>
                <w:left w:val="none" w:color="000000" w:sz="4" w:space="0"/>
                <w:bottom w:val="none" w:color="000000" w:sz="4" w:space="0"/>
                <w:right w:val="none" w:color="000000" w:sz="4" w:space="0"/>
                <w:between w:val="none" w:color="000000" w:sz="4" w:space="0"/>
              </w:pBdr>
              <w:spacing w:after="0" w:before="0"/>
              <w:ind w:right="0" w:firstLine="0" w:left="0"/>
              <w:jc w:val="both"/>
              <w:rPr/>
            </w:pPr>
            <w:r>
              <w:rPr>
                <w:rFonts w:ascii="Times New Roman" w:hAnsi="Times New Roman" w:eastAsia="Times New Roman" w:cs="Times New Roman"/>
                <w:color w:val="202020"/>
                <w:sz w:val="28"/>
              </w:rPr>
              <w:t xml:space="preserve"> </w:t>
            </w:r>
            <w:r/>
          </w:p>
        </w:tc>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2407" w:type="dxa"/>
            <w:vAlign w:val="top"/>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0" w:before="0"/>
              <w:ind w:right="0" w:firstLine="0" w:left="0"/>
              <w:jc w:val="both"/>
              <w:rPr/>
            </w:pPr>
            <w:r>
              <w:rPr>
                <w:rFonts w:ascii="Times New Roman" w:hAnsi="Times New Roman" w:eastAsia="Times New Roman" w:cs="Times New Roman"/>
                <w:color w:val="202020"/>
                <w:sz w:val="28"/>
              </w:rPr>
              <w:t xml:space="preserve"> </w:t>
            </w:r>
            <w:r/>
          </w:p>
        </w:tc>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3234" w:type="dxa"/>
            <w:vAlign w:val="top"/>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0" w:before="0"/>
              <w:ind w:right="0" w:firstLine="0" w:left="0"/>
              <w:jc w:val="both"/>
              <w:rPr/>
            </w:pPr>
            <w:r>
              <w:rPr>
                <w:rFonts w:ascii="Times New Roman" w:hAnsi="Times New Roman" w:eastAsia="Times New Roman" w:cs="Times New Roman"/>
                <w:color w:val="202020"/>
                <w:sz w:val="28"/>
              </w:rPr>
              <w:t xml:space="preserve">Валентина КРАМАРЕНКО</w:t>
            </w:r>
            <w:r/>
          </w:p>
        </w:tc>
      </w:tr>
      <w:tr>
        <w:trPr/>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3713" w:type="dxa"/>
            <w:vAlign w:val="top"/>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0" w:before="0"/>
              <w:ind w:right="0" w:firstLine="0" w:left="0"/>
              <w:jc w:val="both"/>
              <w:rPr/>
            </w:pPr>
            <w:r>
              <w:rPr>
                <w:rFonts w:ascii="Times New Roman" w:hAnsi="Times New Roman" w:eastAsia="Times New Roman" w:cs="Times New Roman"/>
                <w:color w:val="202020"/>
                <w:sz w:val="28"/>
              </w:rPr>
              <w:t xml:space="preserve">Головний спеціаліст відділу бухгалтерського обліку та звітності</w:t>
            </w:r>
            <w:r/>
          </w:p>
        </w:tc>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2407" w:type="dxa"/>
            <w:vAlign w:val="top"/>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0" w:before="0"/>
              <w:ind w:right="0" w:firstLine="0" w:left="0"/>
              <w:jc w:val="both"/>
              <w:rPr/>
            </w:pPr>
            <w:r>
              <w:rPr>
                <w:rFonts w:ascii="Times New Roman" w:hAnsi="Times New Roman" w:eastAsia="Times New Roman" w:cs="Times New Roman"/>
                <w:color w:val="202020"/>
                <w:sz w:val="28"/>
              </w:rPr>
              <w:t xml:space="preserve"> </w:t>
            </w:r>
            <w:r/>
          </w:p>
        </w:tc>
        <w:tc>
          <w:tcPr>
            <w:tcBorders>
              <w:top w:val="none" w:color="000000" w:sz="4" w:space="0"/>
              <w:left w:val="none" w:color="000000" w:sz="4" w:space="0"/>
              <w:bottom w:val="none" w:color="000000" w:sz="4" w:space="0"/>
              <w:right w:val="none" w:color="000000" w:sz="4" w:space="0"/>
            </w:tcBorders>
            <w:tcMar>
              <w:left w:w="108" w:type="dxa"/>
              <w:top w:w="0" w:type="dxa"/>
              <w:right w:w="108" w:type="dxa"/>
              <w:bottom w:w="0" w:type="dxa"/>
            </w:tcMar>
            <w:tcW w:w="3234" w:type="dxa"/>
            <w:vAlign w:val="top"/>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0" w:before="0"/>
              <w:ind w:right="0" w:firstLine="0" w:left="0"/>
              <w:jc w:val="both"/>
              <w:rPr/>
            </w:pPr>
            <w:r>
              <w:rPr>
                <w:rFonts w:ascii="Times New Roman" w:hAnsi="Times New Roman" w:eastAsia="Times New Roman" w:cs="Times New Roman"/>
                <w:color w:val="202020"/>
                <w:sz w:val="28"/>
              </w:rPr>
              <w:t xml:space="preserve">Наталія БИРЮК</w:t>
            </w:r>
            <w:r/>
          </w:p>
        </w:tc>
      </w:tr>
    </w:tbl>
    <w:p>
      <w:pPr>
        <w:pBdr>
          <w:top w:val="none" w:color="000000" w:sz="4" w:space="0"/>
          <w:left w:val="none" w:color="000000" w:sz="4" w:space="0"/>
          <w:bottom w:val="none" w:color="000000" w:sz="4" w:space="0"/>
          <w:right w:val="none" w:color="000000" w:sz="4" w:space="0"/>
        </w:pBdr>
        <w:spacing w:after="0" w:before="0"/>
        <w:ind w:right="0" w:firstLine="567" w:left="0"/>
        <w:jc w:val="both"/>
        <w:rPr/>
      </w:pPr>
      <w:r>
        <w:rPr>
          <w:rFonts w:ascii="Times New Roman" w:hAnsi="Times New Roman" w:eastAsia="Times New Roman" w:cs="Times New Roman"/>
          <w:color w:val="202020"/>
          <w:sz w:val="28"/>
        </w:rPr>
        <w:t xml:space="preserve"> </w:t>
      </w:r>
      <w:r/>
    </w:p>
    <w:p>
      <w:pPr>
        <w:pBdr>
          <w:top w:val="none" w:color="000000" w:sz="4" w:space="0"/>
          <w:left w:val="none" w:color="000000" w:sz="4" w:space="0"/>
          <w:bottom w:val="none" w:color="000000" w:sz="4" w:space="0"/>
          <w:right w:val="none" w:color="000000" w:sz="4" w:space="0"/>
        </w:pBdr>
        <w:spacing w:after="0" w:before="0"/>
        <w:ind w:right="0" w:firstLine="567" w:left="0"/>
        <w:jc w:val="both"/>
        <w:rPr/>
      </w:pPr>
      <w:r>
        <w:rPr>
          <w:rFonts w:ascii="Times New Roman" w:hAnsi="Times New Roman" w:eastAsia="Times New Roman" w:cs="Times New Roman"/>
          <w:color w:val="202020"/>
          <w:sz w:val="28"/>
        </w:rPr>
        <w:t xml:space="preserve"> </w:t>
      </w:r>
      <w:r/>
    </w:p>
    <w:p>
      <w:pPr>
        <w:pBdr>
          <w:top w:val="none" w:color="000000" w:sz="4" w:space="0"/>
          <w:left w:val="none" w:color="000000" w:sz="4" w:space="0"/>
          <w:bottom w:val="none" w:color="000000" w:sz="4" w:space="0"/>
          <w:right w:val="none" w:color="000000" w:sz="4" w:space="0"/>
        </w:pBdr>
        <w:tabs>
          <w:tab w:val="clear" w:leader="none" w:pos="1134"/>
          <w:tab w:val="left" w:leader="none" w:pos="6803"/>
        </w:tabs>
        <w:spacing w:after="0" w:before="0" w:line="240" w:lineRule="auto"/>
        <w:ind w:right="0" w:firstLine="0" w:left="0"/>
        <w:jc w:val="both"/>
        <w:rPr>
          <w:rFonts w:ascii="Times New Roman" w:hAnsi="Times New Roman" w:eastAsia="Times New Roman" w:cs="Times New Roman"/>
          <w:b w:val="0"/>
          <w:color w:val="000000"/>
          <w:sz w:val="28"/>
          <w:highlight w:val="none"/>
        </w:rPr>
      </w:pPr>
      <w:r>
        <w:rPr>
          <w:rFonts w:ascii="Times New Roman" w:hAnsi="Times New Roman" w:eastAsia="Times New Roman" w:cs="Times New Roman"/>
          <w:b w:val="0"/>
          <w:color w:val="000000"/>
          <w:sz w:val="28"/>
        </w:rPr>
      </w:r>
      <w:r>
        <w:rPr>
          <w:rFonts w:ascii="Times New Roman" w:hAnsi="Times New Roman" w:eastAsia="Times New Roman" w:cs="Times New Roman"/>
          <w:b w:val="0"/>
          <w:color w:val="000000"/>
          <w:sz w:val="28"/>
          <w:highlight w:val="none"/>
        </w:rPr>
      </w:r>
      <w:r>
        <w:rPr>
          <w:rFonts w:ascii="Times New Roman" w:hAnsi="Times New Roman" w:eastAsia="Times New Roman" w:cs="Times New Roman"/>
          <w:b w:val="0"/>
          <w:color w:val="000000"/>
          <w:sz w:val="28"/>
          <w:highlight w:val="none"/>
        </w:rPr>
      </w:r>
    </w:p>
    <w:sectPr>
      <w:headerReference w:type="default" r:id="rId9"/>
      <w:headerReference w:type="first" r:id="rId10"/>
      <w:footerReference w:type="first" r:id="rId11"/>
      <w:footnotePr/>
      <w:endnotePr/>
      <w:type w:val="nextPage"/>
      <w:pgSz w:h="16838" w:orient="portrait" w:w="11906"/>
      <w:pgMar w:top="1134" w:right="567" w:bottom="1134" w:left="1701" w:header="170"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Mangal">
    <w:panose1 w:val="02040503050406030204"/>
  </w:font>
  <w:font w:name="Courier New">
    <w:panose1 w:val="020703090202050204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7"/>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5"/>
      <w:pBdr/>
      <w:spacing/>
      <w:ind/>
      <w:jc w:val="center"/>
      <w:rPr/>
    </w:pPr>
    <w:fldSimple w:instr="PAGE \* MERGEFORMAT">
      <w:r>
        <w:t xml:space="preserve">1</w:t>
      </w:r>
    </w:fldSimple>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ight="0" w:firstLine="0" w:left="0"/>
      <w:jc w:val="center"/>
      <w:rPr/>
    </w:pPr>
    <w:r>
      <mc:AlternateContent>
        <mc:Choice Requires="wpg">
          <w:drawing>
            <wp:inline xmlns:wp="http://schemas.openxmlformats.org/drawingml/2006/wordprocessingDrawing" distT="0" distB="0" distL="0" distR="0">
              <wp:extent cx="434340" cy="609600"/>
              <wp:effectExtent l="0" t="0" r="0" b="0"/>
              <wp:docPr id="1" name="Рисунок 1"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hidden="0"/>
                      <pic:cNvPicPr>
                        <a:picLocks noChangeAspect="1"/>
                      </pic:cNvPicPr>
                      <pic:nvPr isPhoto="0" userDrawn="0"/>
                    </pic:nvPicPr>
                    <pic:blipFill>
                      <a:blip r:embed="rId1"/>
                      <a:stretch/>
                    </pic:blipFill>
                    <pic:spPr bwMode="auto">
                      <a:xfrm>
                        <a:off x="0" y="0"/>
                        <a:ext cx="434340" cy="609597"/>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4.20pt;height:48.00pt;mso-wrap-distance-left:0.00pt;mso-wrap-distance-top:0.00pt;mso-wrap-distance-right:0.00pt;mso-wrap-distance-bottom:0.00pt;z-index:1;" stroked="f">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09"/>
      </w:pPr>
      <w:rPr>
        <w:rFonts w:ascii="Arial" w:hAnsi="Arial" w:eastAsia="Arial" w:cs="Arial"/>
      </w:rPr>
      <w:start w:val="1"/>
      <w:suff w:val="tab"/>
    </w:lvl>
    <w:lvl w:ilvl="1">
      <w:isLgl w:val="false"/>
      <w:lvlJc w:val="left"/>
      <w:lvlText w:val="o"/>
      <w:numFmt w:val="bullet"/>
      <w:pPr>
        <w:pBdr/>
        <w:spacing/>
        <w:ind w:hanging="360" w:left="1429"/>
      </w:pPr>
      <w:rPr>
        <w:rFonts w:ascii="Courier New" w:hAnsi="Courier New" w:eastAsia="Courier New" w:cs="Courier New"/>
      </w:rPr>
      <w:start w:val="1"/>
      <w:suff w:val="tab"/>
    </w:lvl>
    <w:lvl w:ilvl="2">
      <w:isLgl w:val="false"/>
      <w:lvlJc w:val="left"/>
      <w:lvlText w:val="§"/>
      <w:numFmt w:val="bullet"/>
      <w:pPr>
        <w:pBdr/>
        <w:spacing/>
        <w:ind w:hanging="360" w:left="2149"/>
      </w:pPr>
      <w:rPr>
        <w:rFonts w:ascii="Wingdings" w:hAnsi="Wingdings" w:eastAsia="Wingdings" w:cs="Wingdings"/>
      </w:rPr>
      <w:start w:val="1"/>
      <w:suff w:val="tab"/>
    </w:lvl>
    <w:lvl w:ilvl="3">
      <w:isLgl w:val="false"/>
      <w:lvlJc w:val="left"/>
      <w:lvlText w:val="·"/>
      <w:numFmt w:val="bullet"/>
      <w:pPr>
        <w:pBdr/>
        <w:spacing/>
        <w:ind w:hanging="360" w:left="2869"/>
      </w:pPr>
      <w:rPr>
        <w:rFonts w:ascii="Symbol" w:hAnsi="Symbol" w:eastAsia="Symbol" w:cs="Symbol"/>
      </w:rPr>
      <w:start w:val="1"/>
      <w:suff w:val="tab"/>
    </w:lvl>
    <w:lvl w:ilvl="4">
      <w:isLgl w:val="false"/>
      <w:lvlJc w:val="left"/>
      <w:lvlText w:val="o"/>
      <w:numFmt w:val="bullet"/>
      <w:pPr>
        <w:pBdr/>
        <w:spacing/>
        <w:ind w:hanging="360" w:left="3589"/>
      </w:pPr>
      <w:rPr>
        <w:rFonts w:ascii="Courier New" w:hAnsi="Courier New" w:eastAsia="Courier New" w:cs="Courier New"/>
      </w:rPr>
      <w:start w:val="1"/>
      <w:suff w:val="tab"/>
    </w:lvl>
    <w:lvl w:ilvl="5">
      <w:isLgl w:val="false"/>
      <w:lvlJc w:val="left"/>
      <w:lvlText w:val="§"/>
      <w:numFmt w:val="bullet"/>
      <w:pPr>
        <w:pBdr/>
        <w:spacing/>
        <w:ind w:hanging="360" w:left="4309"/>
      </w:pPr>
      <w:rPr>
        <w:rFonts w:ascii="Wingdings" w:hAnsi="Wingdings" w:eastAsia="Wingdings" w:cs="Wingdings"/>
      </w:rPr>
      <w:start w:val="1"/>
      <w:suff w:val="tab"/>
    </w:lvl>
    <w:lvl w:ilvl="6">
      <w:isLgl w:val="false"/>
      <w:lvlJc w:val="left"/>
      <w:lvlText w:val="·"/>
      <w:numFmt w:val="bullet"/>
      <w:pPr>
        <w:pBdr/>
        <w:spacing/>
        <w:ind w:hanging="360" w:left="5029"/>
      </w:pPr>
      <w:rPr>
        <w:rFonts w:ascii="Symbol" w:hAnsi="Symbol" w:eastAsia="Symbol" w:cs="Symbol"/>
      </w:rPr>
      <w:start w:val="1"/>
      <w:suff w:val="tab"/>
    </w:lvl>
    <w:lvl w:ilvl="7">
      <w:isLgl w:val="false"/>
      <w:lvlJc w:val="left"/>
      <w:lvlText w:val="o"/>
      <w:numFmt w:val="bullet"/>
      <w:pPr>
        <w:pBdr/>
        <w:spacing/>
        <w:ind w:hanging="360" w:left="5749"/>
      </w:pPr>
      <w:rPr>
        <w:rFonts w:ascii="Courier New" w:hAnsi="Courier New" w:eastAsia="Courier New" w:cs="Courier New"/>
      </w:rPr>
      <w:start w:val="1"/>
      <w:suff w:val="tab"/>
    </w:lvl>
    <w:lvl w:ilvl="8">
      <w:isLgl w:val="false"/>
      <w:lvlJc w:val="left"/>
      <w:lvlText w:val="§"/>
      <w:numFmt w:val="bullet"/>
      <w:pPr>
        <w:pBdr/>
        <w:spacing/>
        <w:ind w:hanging="360" w:left="6469"/>
      </w:pPr>
      <w:rPr>
        <w:rFonts w:ascii="Wingdings" w:hAnsi="Wingdings" w:eastAsia="Wingdings" w:cs="Wingdings"/>
      </w:rPr>
      <w:start w:val="1"/>
      <w:suff w:val="tab"/>
    </w:lvl>
  </w:abstractNum>
  <w:abstractNum w:abstractNumId="1">
    <w:lvl w:ilvl="0">
      <w:isLgl w:val="false"/>
      <w:lvlJc w:val="left"/>
      <w:lvlText w:val="–"/>
      <w:numFmt w:val="bullet"/>
      <w:pPr>
        <w:pBdr/>
        <w:spacing/>
        <w:ind w:hanging="360" w:left="709"/>
      </w:pPr>
      <w:rPr>
        <w:rFonts w:ascii="Arial" w:hAnsi="Arial" w:eastAsia="Arial" w:cs="Arial"/>
      </w:rPr>
      <w:start w:val="1"/>
      <w:suff w:val="tab"/>
    </w:lvl>
    <w:lvl w:ilvl="1">
      <w:isLgl w:val="false"/>
      <w:lvlJc w:val="left"/>
      <w:lvlText w:val="o"/>
      <w:numFmt w:val="bullet"/>
      <w:pPr>
        <w:pBdr/>
        <w:spacing/>
        <w:ind w:hanging="360" w:left="1429"/>
      </w:pPr>
      <w:rPr>
        <w:rFonts w:ascii="Courier New" w:hAnsi="Courier New" w:eastAsia="Courier New" w:cs="Courier New"/>
      </w:rPr>
      <w:start w:val="1"/>
      <w:suff w:val="tab"/>
    </w:lvl>
    <w:lvl w:ilvl="2">
      <w:isLgl w:val="false"/>
      <w:lvlJc w:val="left"/>
      <w:lvlText w:val="§"/>
      <w:numFmt w:val="bullet"/>
      <w:pPr>
        <w:pBdr/>
        <w:spacing/>
        <w:ind w:hanging="360" w:left="2149"/>
      </w:pPr>
      <w:rPr>
        <w:rFonts w:ascii="Wingdings" w:hAnsi="Wingdings" w:eastAsia="Wingdings" w:cs="Wingdings"/>
      </w:rPr>
      <w:start w:val="1"/>
      <w:suff w:val="tab"/>
    </w:lvl>
    <w:lvl w:ilvl="3">
      <w:isLgl w:val="false"/>
      <w:lvlJc w:val="left"/>
      <w:lvlText w:val="·"/>
      <w:numFmt w:val="bullet"/>
      <w:pPr>
        <w:pBdr/>
        <w:spacing/>
        <w:ind w:hanging="360" w:left="2869"/>
      </w:pPr>
      <w:rPr>
        <w:rFonts w:ascii="Symbol" w:hAnsi="Symbol" w:eastAsia="Symbol" w:cs="Symbol"/>
      </w:rPr>
      <w:start w:val="1"/>
      <w:suff w:val="tab"/>
    </w:lvl>
    <w:lvl w:ilvl="4">
      <w:isLgl w:val="false"/>
      <w:lvlJc w:val="left"/>
      <w:lvlText w:val="o"/>
      <w:numFmt w:val="bullet"/>
      <w:pPr>
        <w:pBdr/>
        <w:spacing/>
        <w:ind w:hanging="360" w:left="3589"/>
      </w:pPr>
      <w:rPr>
        <w:rFonts w:ascii="Courier New" w:hAnsi="Courier New" w:eastAsia="Courier New" w:cs="Courier New"/>
      </w:rPr>
      <w:start w:val="1"/>
      <w:suff w:val="tab"/>
    </w:lvl>
    <w:lvl w:ilvl="5">
      <w:isLgl w:val="false"/>
      <w:lvlJc w:val="left"/>
      <w:lvlText w:val="§"/>
      <w:numFmt w:val="bullet"/>
      <w:pPr>
        <w:pBdr/>
        <w:spacing/>
        <w:ind w:hanging="360" w:left="4309"/>
      </w:pPr>
      <w:rPr>
        <w:rFonts w:ascii="Wingdings" w:hAnsi="Wingdings" w:eastAsia="Wingdings" w:cs="Wingdings"/>
      </w:rPr>
      <w:start w:val="1"/>
      <w:suff w:val="tab"/>
    </w:lvl>
    <w:lvl w:ilvl="6">
      <w:isLgl w:val="false"/>
      <w:lvlJc w:val="left"/>
      <w:lvlText w:val="·"/>
      <w:numFmt w:val="bullet"/>
      <w:pPr>
        <w:pBdr/>
        <w:spacing/>
        <w:ind w:hanging="360" w:left="5029"/>
      </w:pPr>
      <w:rPr>
        <w:rFonts w:ascii="Symbol" w:hAnsi="Symbol" w:eastAsia="Symbol" w:cs="Symbol"/>
      </w:rPr>
      <w:start w:val="1"/>
      <w:suff w:val="tab"/>
    </w:lvl>
    <w:lvl w:ilvl="7">
      <w:isLgl w:val="false"/>
      <w:lvlJc w:val="left"/>
      <w:lvlText w:val="o"/>
      <w:numFmt w:val="bullet"/>
      <w:pPr>
        <w:pBdr/>
        <w:spacing/>
        <w:ind w:hanging="360" w:left="5749"/>
      </w:pPr>
      <w:rPr>
        <w:rFonts w:ascii="Courier New" w:hAnsi="Courier New" w:eastAsia="Courier New" w:cs="Courier New"/>
      </w:rPr>
      <w:start w:val="1"/>
      <w:suff w:val="tab"/>
    </w:lvl>
    <w:lvl w:ilvl="8">
      <w:isLgl w:val="false"/>
      <w:lvlJc w:val="left"/>
      <w:lvlText w:val="§"/>
      <w:numFmt w:val="bullet"/>
      <w:pPr>
        <w:pBdr/>
        <w:spacing/>
        <w:ind w:hanging="360" w:left="6469"/>
      </w:pPr>
      <w:rPr>
        <w:rFonts w:ascii="Wingdings" w:hAnsi="Wingdings" w:eastAsia="Wingdings" w:cs="Wingdings"/>
      </w:rPr>
      <w:start w:val="1"/>
      <w:suff w:val="tab"/>
    </w:lvl>
  </w:abstractNum>
  <w:abstractNum w:abstractNumId="2">
    <w:lvl w:ilvl="0">
      <w:isLgl w:val="false"/>
      <w:lvlJc w:val="left"/>
      <w:lvlText w:val="%1."/>
      <w:numFmt w:val="decimal"/>
      <w:pPr>
        <w:pBdr/>
        <w:spacing/>
        <w:ind w:hanging="360" w:left="1559"/>
      </w:pPr>
      <w:rPr/>
      <w:start w:val="1"/>
      <w:suff w:val="tab"/>
    </w:lvl>
    <w:lvl w:ilvl="1">
      <w:isLgl w:val="false"/>
      <w:lvlJc w:val="left"/>
      <w:lvlText w:val="%2."/>
      <w:numFmt w:val="lowerLetter"/>
      <w:pPr>
        <w:pBdr/>
        <w:spacing/>
        <w:ind w:hanging="360" w:left="2279"/>
      </w:pPr>
      <w:rPr/>
      <w:start w:val="1"/>
      <w:suff w:val="tab"/>
    </w:lvl>
    <w:lvl w:ilvl="2">
      <w:isLgl w:val="false"/>
      <w:lvlJc w:val="right"/>
      <w:lvlText w:val="%3."/>
      <w:numFmt w:val="lowerRoman"/>
      <w:pPr>
        <w:pBdr/>
        <w:spacing/>
        <w:ind w:hanging="180" w:left="2999"/>
      </w:pPr>
      <w:rPr/>
      <w:start w:val="1"/>
      <w:suff w:val="tab"/>
    </w:lvl>
    <w:lvl w:ilvl="3">
      <w:isLgl w:val="false"/>
      <w:lvlJc w:val="left"/>
      <w:lvlText w:val="%4."/>
      <w:numFmt w:val="decimal"/>
      <w:pPr>
        <w:pBdr/>
        <w:spacing/>
        <w:ind w:hanging="360" w:left="3719"/>
      </w:pPr>
      <w:rPr/>
      <w:start w:val="1"/>
      <w:suff w:val="tab"/>
    </w:lvl>
    <w:lvl w:ilvl="4">
      <w:isLgl w:val="false"/>
      <w:lvlJc w:val="left"/>
      <w:lvlText w:val="%5."/>
      <w:numFmt w:val="lowerLetter"/>
      <w:pPr>
        <w:pBdr/>
        <w:spacing/>
        <w:ind w:hanging="360" w:left="4439"/>
      </w:pPr>
      <w:rPr/>
      <w:start w:val="1"/>
      <w:suff w:val="tab"/>
    </w:lvl>
    <w:lvl w:ilvl="5">
      <w:isLgl w:val="false"/>
      <w:lvlJc w:val="right"/>
      <w:lvlText w:val="%6."/>
      <w:numFmt w:val="lowerRoman"/>
      <w:pPr>
        <w:pBdr/>
        <w:spacing/>
        <w:ind w:hanging="180" w:left="5159"/>
      </w:pPr>
      <w:rPr/>
      <w:start w:val="1"/>
      <w:suff w:val="tab"/>
    </w:lvl>
    <w:lvl w:ilvl="6">
      <w:isLgl w:val="false"/>
      <w:lvlJc w:val="left"/>
      <w:lvlText w:val="%7."/>
      <w:numFmt w:val="decimal"/>
      <w:pPr>
        <w:pBdr/>
        <w:spacing/>
        <w:ind w:hanging="360" w:left="5879"/>
      </w:pPr>
      <w:rPr/>
      <w:start w:val="1"/>
      <w:suff w:val="tab"/>
    </w:lvl>
    <w:lvl w:ilvl="7">
      <w:isLgl w:val="false"/>
      <w:lvlJc w:val="left"/>
      <w:lvlText w:val="%8."/>
      <w:numFmt w:val="lowerLetter"/>
      <w:pPr>
        <w:pBdr/>
        <w:spacing/>
        <w:ind w:hanging="360" w:left="6599"/>
      </w:pPr>
      <w:rPr/>
      <w:start w:val="1"/>
      <w:suff w:val="tab"/>
    </w:lvl>
    <w:lvl w:ilvl="8">
      <w:isLgl w:val="false"/>
      <w:lvlJc w:val="right"/>
      <w:lvlText w:val="%9."/>
      <w:numFmt w:val="lowerRoman"/>
      <w:pPr>
        <w:pBdr/>
        <w:spacing/>
        <w:ind w:hanging="180" w:left="7319"/>
      </w:pPr>
      <w:rPr/>
      <w:start w:val="1"/>
      <w:suff w:val="tab"/>
    </w:lvl>
  </w:abstractNum>
  <w:abstractNum w:abstractNumId="3">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sz w:val="22"/>
        <w:szCs w:val="22"/>
        <w:lang w:val="uk-UA"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17">
    <w:name w:val="Intense Emphasis"/>
    <w:basedOn w:val="906"/>
    <w:uiPriority w:val="21"/>
    <w:qFormat/>
    <w:pPr>
      <w:pBdr/>
      <w:spacing/>
      <w:ind/>
    </w:pPr>
    <w:rPr>
      <w:i/>
      <w:iCs/>
      <w:color w:val="0f4761" w:themeColor="accent1" w:themeShade="BF"/>
    </w:rPr>
  </w:style>
  <w:style w:type="character" w:styleId="718">
    <w:name w:val="Intense Reference"/>
    <w:basedOn w:val="906"/>
    <w:uiPriority w:val="32"/>
    <w:qFormat/>
    <w:pPr>
      <w:pBdr/>
      <w:spacing/>
      <w:ind/>
    </w:pPr>
    <w:rPr>
      <w:b/>
      <w:bCs/>
      <w:smallCaps/>
      <w:color w:val="0f4761" w:themeColor="accent1" w:themeShade="BF"/>
      <w:spacing w:val="5"/>
    </w:rPr>
  </w:style>
  <w:style w:type="character" w:styleId="719">
    <w:name w:val="Subtle Emphasis"/>
    <w:basedOn w:val="906"/>
    <w:uiPriority w:val="19"/>
    <w:qFormat/>
    <w:pPr>
      <w:pBdr/>
      <w:spacing/>
      <w:ind/>
    </w:pPr>
    <w:rPr>
      <w:i/>
      <w:iCs/>
      <w:color w:val="404040" w:themeColor="text1" w:themeTint="BF"/>
    </w:rPr>
  </w:style>
  <w:style w:type="character" w:styleId="720">
    <w:name w:val="Emphasis"/>
    <w:basedOn w:val="906"/>
    <w:uiPriority w:val="20"/>
    <w:qFormat/>
    <w:pPr>
      <w:pBdr/>
      <w:spacing/>
      <w:ind/>
    </w:pPr>
    <w:rPr>
      <w:i/>
      <w:iCs/>
    </w:rPr>
  </w:style>
  <w:style w:type="character" w:styleId="721">
    <w:name w:val="Strong"/>
    <w:basedOn w:val="906"/>
    <w:uiPriority w:val="22"/>
    <w:qFormat/>
    <w:pPr>
      <w:pBdr/>
      <w:spacing/>
      <w:ind/>
    </w:pPr>
    <w:rPr>
      <w:b/>
      <w:bCs/>
    </w:rPr>
  </w:style>
  <w:style w:type="character" w:styleId="722">
    <w:name w:val="Subtle Reference"/>
    <w:basedOn w:val="906"/>
    <w:uiPriority w:val="31"/>
    <w:qFormat/>
    <w:pPr>
      <w:pBdr/>
      <w:spacing/>
      <w:ind/>
    </w:pPr>
    <w:rPr>
      <w:smallCaps/>
      <w:color w:val="5a5a5a" w:themeColor="text1" w:themeTint="A5"/>
    </w:rPr>
  </w:style>
  <w:style w:type="character" w:styleId="723">
    <w:name w:val="Book Title"/>
    <w:basedOn w:val="906"/>
    <w:uiPriority w:val="33"/>
    <w:qFormat/>
    <w:pPr>
      <w:pBdr/>
      <w:spacing/>
      <w:ind/>
    </w:pPr>
    <w:rPr>
      <w:b/>
      <w:bCs/>
      <w:i/>
      <w:iCs/>
      <w:spacing w:val="5"/>
    </w:rPr>
  </w:style>
  <w:style w:type="character" w:styleId="724">
    <w:name w:val="FollowedHyperlink"/>
    <w:basedOn w:val="906"/>
    <w:uiPriority w:val="99"/>
    <w:semiHidden/>
    <w:unhideWhenUsed/>
    <w:pPr>
      <w:pBdr/>
      <w:spacing/>
      <w:ind/>
    </w:pPr>
    <w:rPr>
      <w:color w:val="954f72" w:themeColor="followedHyperlink"/>
      <w:u w:val="single"/>
    </w:rPr>
  </w:style>
  <w:style w:type="paragraph" w:styleId="725">
    <w:name w:val="Caption"/>
    <w:basedOn w:val="905"/>
    <w:next w:val="905"/>
    <w:uiPriority w:val="35"/>
    <w:semiHidden/>
    <w:unhideWhenUsed/>
    <w:qFormat/>
    <w:pPr>
      <w:pBdr/>
      <w:spacing w:line="276" w:lineRule="auto"/>
      <w:ind/>
    </w:pPr>
    <w:rPr>
      <w:b/>
      <w:bCs/>
      <w:color w:val="4f81bd" w:themeColor="accent1"/>
      <w:sz w:val="18"/>
      <w:szCs w:val="18"/>
    </w:rPr>
  </w:style>
  <w:style w:type="character" w:styleId="726">
    <w:name w:val="Caption Char"/>
    <w:basedOn w:val="725"/>
    <w:link w:val="867"/>
    <w:uiPriority w:val="99"/>
    <w:pPr>
      <w:pBdr/>
      <w:spacing/>
      <w:ind/>
    </w:pPr>
  </w:style>
  <w:style w:type="paragraph" w:styleId="727">
    <w:name w:val="endnote text"/>
    <w:basedOn w:val="905"/>
    <w:link w:val="728"/>
    <w:uiPriority w:val="99"/>
    <w:semiHidden/>
    <w:unhideWhenUsed/>
    <w:pPr>
      <w:pBdr/>
      <w:spacing w:after="0" w:line="240" w:lineRule="auto"/>
      <w:ind/>
    </w:pPr>
    <w:rPr>
      <w:sz w:val="20"/>
    </w:rPr>
  </w:style>
  <w:style w:type="character" w:styleId="728">
    <w:name w:val="Endnote Text Char"/>
    <w:link w:val="727"/>
    <w:uiPriority w:val="99"/>
    <w:pPr>
      <w:pBdr/>
      <w:spacing/>
      <w:ind/>
    </w:pPr>
    <w:rPr>
      <w:sz w:val="20"/>
    </w:rPr>
  </w:style>
  <w:style w:type="character" w:styleId="729">
    <w:name w:val="endnote reference"/>
    <w:basedOn w:val="906"/>
    <w:uiPriority w:val="99"/>
    <w:semiHidden/>
    <w:unhideWhenUsed/>
    <w:pPr>
      <w:pBdr/>
      <w:spacing/>
      <w:ind/>
    </w:pPr>
    <w:rPr>
      <w:vertAlign w:val="superscript"/>
    </w:rPr>
  </w:style>
  <w:style w:type="paragraph" w:styleId="730">
    <w:name w:val="table of figures"/>
    <w:basedOn w:val="905"/>
    <w:next w:val="905"/>
    <w:uiPriority w:val="99"/>
    <w:unhideWhenUsed/>
    <w:pPr>
      <w:pBdr/>
      <w:spacing w:after="0" w:afterAutospacing="0"/>
      <w:ind/>
    </w:pPr>
  </w:style>
  <w:style w:type="table" w:styleId="731">
    <w:name w:val="Table Grid Light"/>
    <w:basedOn w:val="90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Plain Table 1"/>
    <w:basedOn w:val="90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Plain Table 2"/>
    <w:basedOn w:val="90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Plain Table 3"/>
    <w:basedOn w:val="90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Plain Table 4"/>
    <w:basedOn w:val="90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Plain Table 5"/>
    <w:basedOn w:val="90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right w:val="single" w:color="404040" w:sz="4" w:space="0"/>
        </w:tcBorders>
      </w:tcPr>
    </w:tblStylePr>
    <w:tblStylePr w:type="firstRow">
      <w:rPr>
        <w:i/>
        <w:color w:val="404040"/>
      </w:rPr>
      <w:pPr>
        <w:pBdr/>
        <w:spacing/>
        <w:ind/>
      </w:pPr>
      <w:tblPr>
        <w:tblBorders/>
      </w:tblPr>
      <w:tcPr>
        <w:shd w:val="clear" w:color="auto" w:fill="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auto" w:fill="ffffff"/>
        <w:tcBorders>
          <w:left w:val="single" w:color="404040" w:sz="4" w:space="0"/>
        </w:tcBorders>
      </w:tcPr>
    </w:tblStylePr>
    <w:tblStylePr w:type="lastRow">
      <w:rPr>
        <w:i/>
        <w:color w:val="404040"/>
      </w:rPr>
      <w:pPr>
        <w:pBdr/>
        <w:spacing/>
        <w:ind/>
      </w:pPr>
      <w:tblPr>
        <w:tblBorders/>
      </w:tblPr>
      <w:tcPr>
        <w:shd w:val="clear" w:color="auto" w:fill="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1 Light"/>
    <w:basedOn w:val="90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1 Light - Accent 1"/>
    <w:basedOn w:val="90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1 Light - Accent 2"/>
    <w:basedOn w:val="90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1 Light - Accent 3"/>
    <w:basedOn w:val="90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1 Light - Accent 4"/>
    <w:basedOn w:val="90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1 Light - Accent 5"/>
    <w:basedOn w:val="90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1 Light - Accent 6"/>
    <w:basedOn w:val="90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2"/>
    <w:basedOn w:val="90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2 - Accent 1"/>
    <w:basedOn w:val="90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2 - Accent 2"/>
    <w:basedOn w:val="90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 Accent 3"/>
    <w:basedOn w:val="90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2 - Accent 4"/>
    <w:basedOn w:val="90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2 - Accent 5"/>
    <w:basedOn w:val="90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2 - Accent 6"/>
    <w:basedOn w:val="90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3"/>
    <w:basedOn w:val="90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3 - Accent 1"/>
    <w:basedOn w:val="90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3 - Accent 2"/>
    <w:basedOn w:val="90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3 - Accent 3"/>
    <w:basedOn w:val="90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3 - Accent 4"/>
    <w:basedOn w:val="90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3 - Accent 5"/>
    <w:basedOn w:val="90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3 - Accent 6"/>
    <w:basedOn w:val="90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4"/>
    <w:basedOn w:val="90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4 - Accent 1"/>
    <w:basedOn w:val="90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4 - Accent 2"/>
    <w:basedOn w:val="90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 Accent 3"/>
    <w:basedOn w:val="90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4 - Accent 4"/>
    <w:basedOn w:val="90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4 - Accent 5"/>
    <w:basedOn w:val="90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4 - Accent 6"/>
    <w:basedOn w:val="90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5 Dark"/>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5 Dark- Accent 1"/>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5 Dark - Accent 2"/>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5 Dark - Accent 3"/>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5 Dark- Accent 4"/>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5 Dark - Accent 5"/>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5 Dark - Accent 6"/>
    <w:basedOn w:val="90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auto" w:fill="ffffff"/>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fffff"/>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rFonts w:ascii="Arial" w:hAnsi="Arial"/>
        <w:b/>
        <w:color w:val="ffffff"/>
        <w:sz w:val="22"/>
      </w:rPr>
      <w:pPr>
        <w:pBdr/>
        <w:spacing/>
        <w:ind/>
      </w:pPr>
      <w:tblPr>
        <w:tblBorders/>
      </w:tblPr>
      <w:tcPr>
        <w:shd w:val="clear" w:color="auto" w:fill="ffffff"/>
        <w:tcBorders/>
      </w:tcPr>
    </w:tblStylePr>
    <w:tblStylePr w:type="lastRow">
      <w:rPr>
        <w:rFonts w:ascii="Arial" w:hAnsi="Arial"/>
        <w:b/>
        <w:color w:val="ffffff"/>
        <w:sz w:val="22"/>
      </w:rPr>
      <w:pPr>
        <w:pBdr/>
        <w:spacing/>
        <w:ind/>
      </w:pPr>
      <w:tblPr>
        <w:tblBorders/>
      </w:tblPr>
      <w:tcPr>
        <w:shd w:val="clear" w:color="auto" w:fill="ffffff"/>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6 Colorful"/>
    <w:basedOn w:val="90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3">
    <w:name w:val="Grid Table 6 Colorful - Accent 1"/>
    <w:basedOn w:val="90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74">
    <w:name w:val="Grid Table 6 Colorful - Accent 2"/>
    <w:basedOn w:val="90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5">
    <w:name w:val="Grid Table 6 Colorful - Accent 3"/>
    <w:basedOn w:val="90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6">
    <w:name w:val="Grid Table 6 Colorful - Accent 4"/>
    <w:basedOn w:val="90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7">
    <w:name w:val="Grid Table 6 Colorful - Accent 5"/>
    <w:basedOn w:val="90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8">
    <w:name w:val="Grid Table 6 Colorful - Accent 6"/>
    <w:basedOn w:val="90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9">
    <w:name w:val="Grid Table 7 Colorful"/>
    <w:basedOn w:val="90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auto" w:fill="ffffff"/>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auto" w:fill="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auto" w:fill="ffffff"/>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7 Colorful - Accent 1"/>
    <w:basedOn w:val="90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auto" w:fill="ffffff"/>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auto" w:fill="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auto" w:fill="ffffff"/>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7 Colorful - Accent 2"/>
    <w:basedOn w:val="90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auto" w:fill="ffffff"/>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auto" w:fill="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auto" w:fill="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7 Colorful - Accent 3"/>
    <w:basedOn w:val="90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auto" w:fill="ffffff"/>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auto" w:fill="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auto" w:fill="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7 Colorful - Accent 4"/>
    <w:basedOn w:val="90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auto" w:fill="ffffff"/>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auto" w:fill="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auto" w:fill="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7 Colorful - Accent 5"/>
    <w:basedOn w:val="90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auto" w:fill="ffffff"/>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auto" w:fill="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auto" w:fill="ffffff"/>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7 Colorful - Accent 6"/>
    <w:basedOn w:val="90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auto" w:fill="ffffff"/>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auto" w:fill="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auto" w:fill="ffffff"/>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1 Light"/>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1 Light - Accent 1"/>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1 Light - Accent 2"/>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1 Light - Accent 3"/>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1 Light - Accent 4"/>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1 Light - Accent 5"/>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1 Light - Accent 6"/>
    <w:basedOn w:val="90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2"/>
    <w:basedOn w:val="90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2 - Accent 1"/>
    <w:basedOn w:val="90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2 - Accent 2"/>
    <w:basedOn w:val="90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2 - Accent 3"/>
    <w:basedOn w:val="90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2 - Accent 4"/>
    <w:basedOn w:val="90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2 - Accent 5"/>
    <w:basedOn w:val="90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2 - Accent 6"/>
    <w:basedOn w:val="90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3"/>
    <w:basedOn w:val="90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3 - Accent 1"/>
    <w:basedOn w:val="90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3 - Accent 2"/>
    <w:basedOn w:val="90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3 - Accent 3"/>
    <w:basedOn w:val="90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3 - Accent 4"/>
    <w:basedOn w:val="90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3 - Accent 5"/>
    <w:basedOn w:val="90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3 - Accent 6"/>
    <w:basedOn w:val="90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4"/>
    <w:basedOn w:val="90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4 - Accent 1"/>
    <w:basedOn w:val="90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4 - Accent 2"/>
    <w:basedOn w:val="90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4 - Accent 3"/>
    <w:basedOn w:val="90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4 - Accent 4"/>
    <w:basedOn w:val="90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4 - Accent 5"/>
    <w:basedOn w:val="90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4 - Accent 6"/>
    <w:basedOn w:val="90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auto" w:fill="ffffff"/>
        <w:tcBorders/>
      </w:tcPr>
    </w:tblStylePr>
    <w:tblStylePr w:type="band1Vert">
      <w:rPr>
        <w:rFonts w:ascii="Arial" w:hAnsi="Arial"/>
        <w:color w:val="404040"/>
        <w:sz w:val="22"/>
      </w:rPr>
      <w:pPr>
        <w:pBdr/>
        <w:spacing/>
        <w:ind/>
      </w:pPr>
      <w:tblPr>
        <w:tblBorders/>
      </w:tblPr>
      <w:tcPr>
        <w:shd w:val="clear" w:color="auto" w:fill="fffff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fffff"/>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5 Dark"/>
    <w:basedOn w:val="90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5">
    <w:name w:val="List Table 5 Dark - Accent 1"/>
    <w:basedOn w:val="90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6">
    <w:name w:val="List Table 5 Dark - Accent 2"/>
    <w:basedOn w:val="90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7">
    <w:name w:val="List Table 5 Dark - Accent 3"/>
    <w:basedOn w:val="90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8">
    <w:name w:val="List Table 5 Dark - Accent 4"/>
    <w:basedOn w:val="90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9">
    <w:name w:val="List Table 5 Dark - Accent 5"/>
    <w:basedOn w:val="90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0">
    <w:name w:val="List Table 5 Dark - Accent 6"/>
    <w:basedOn w:val="90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auto" w:fill="ffffff"/>
    </w:tblPr>
    <w:tcPr>
      <w:tcBorders/>
    </w:tcPr>
    <w:tblStylePr w:type="band1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1Vert">
      <w:pPr>
        <w:pBdr/>
        <w:spacing/>
        <w:ind/>
      </w:pPr>
      <w:tblPr>
        <w:tblBorders/>
      </w:tblPr>
      <w:tcPr>
        <w:shd w:val="clear" w:color="auto" w:fill="ffffff"/>
        <w:tcBorders>
          <w:left w:val="single" w:color="000000" w:themeColor="light1" w:sz="4" w:space="0"/>
          <w:right w:val="single" w:color="000000" w:themeColor="light1" w:sz="4" w:space="0"/>
        </w:tcBorders>
      </w:tcPr>
    </w:tblStylePr>
    <w:tblStylePr w:type="band2Horz">
      <w:pPr>
        <w:pBdr/>
        <w:spacing/>
        <w:ind/>
      </w:pPr>
      <w:tblPr>
        <w:tblBorders/>
      </w:tblPr>
      <w:tcPr>
        <w:shd w:val="clear" w:color="auto" w:fill="ffffff"/>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auto" w:fill="ffffff"/>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1">
    <w:name w:val="List Table 6 Colorful"/>
    <w:basedOn w:val="90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6 Colorful - Accent 1"/>
    <w:basedOn w:val="90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6 Colorful - Accent 2"/>
    <w:basedOn w:val="90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6 Colorful - Accent 3"/>
    <w:basedOn w:val="90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6 Colorful - Accent 4"/>
    <w:basedOn w:val="90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6 Colorful - Accent 5"/>
    <w:basedOn w:val="90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6 Colorful - Accent 6"/>
    <w:basedOn w:val="90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7 Colorful"/>
    <w:basedOn w:val="90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auto" w:fill="ffffff"/>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auto" w:fill="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auto" w:fill="ffffff"/>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29">
    <w:name w:val="List Table 7 Colorful - Accent 1"/>
    <w:basedOn w:val="90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auto" w:fill="ffffff"/>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auto" w:fill="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auto" w:fill="ffffff"/>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830">
    <w:name w:val="List Table 7 Colorful - Accent 2"/>
    <w:basedOn w:val="90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auto" w:fill="ffffff"/>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auto" w:fill="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auto" w:fill="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831">
    <w:name w:val="List Table 7 Colorful - Accent 3"/>
    <w:basedOn w:val="90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auto" w:fill="ffffff"/>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auto" w:fill="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auto" w:fill="ffffff"/>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832">
    <w:name w:val="List Table 7 Colorful - Accent 4"/>
    <w:basedOn w:val="90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auto" w:fill="ffffff"/>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auto" w:fill="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auto" w:fill="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833">
    <w:name w:val="List Table 7 Colorful - Accent 5"/>
    <w:basedOn w:val="90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auto" w:fill="ffffff"/>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auto" w:fill="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auto" w:fill="ffffff"/>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834">
    <w:name w:val="List Table 7 Colorful - Accent 6"/>
    <w:basedOn w:val="90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auto" w:fill="ffffff"/>
        <w:tcBorders/>
      </w:tcPr>
    </w:tblStylePr>
    <w:tblStylePr w:type="band1Vert">
      <w:pPr>
        <w:pBdr/>
        <w:spacing/>
        <w:ind/>
      </w:pPr>
      <w:tblPr>
        <w:tblBorders/>
      </w:tblPr>
      <w:tcPr>
        <w:shd w:val="clear" w:color="auto" w:fill="ffffff"/>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auto" w:fill="ffffff"/>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auto" w:fill="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auto" w:fill="ffffff"/>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835">
    <w:name w:val="Lined - Accent"/>
    <w:basedOn w:val="90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fffff"/>
        <w:tcBorders/>
      </w:tcPr>
    </w:tblStylePr>
    <w:tblStylePr w:type="band2Vert">
      <w:rPr>
        <w:rFonts w:ascii="Arial" w:hAnsi="Arial"/>
        <w:color w:val="404040"/>
        <w:sz w:val="22"/>
      </w:rPr>
      <w:pPr>
        <w:pBdr/>
        <w:spacing/>
        <w:ind/>
      </w:pPr>
      <w:tblPr>
        <w:tblBorders/>
      </w:tblPr>
      <w:tcPr>
        <w:shd w:val="clear" w:color="auto" w:fill="ffffff"/>
        <w:tcBorders/>
      </w:tcPr>
    </w:tblStylePr>
    <w:tblStylePr w:type="firstCol">
      <w:rPr>
        <w:rFonts w:ascii="Arial" w:hAnsi="Arial"/>
        <w:color w:val="f2f2f2"/>
        <w:sz w:val="22"/>
      </w:rPr>
      <w:pPr>
        <w:pBdr/>
        <w:spacing/>
        <w:ind/>
      </w:pPr>
      <w:tblPr>
        <w:tblBorders/>
      </w:tblPr>
      <w:tcPr>
        <w:shd w:val="clear" w:color="auto" w:fill="ffffff"/>
        <w:tcBorders/>
      </w:tcPr>
    </w:tblStylePr>
    <w:tblStylePr w:type="firstRow">
      <w:rPr>
        <w:rFonts w:ascii="Arial" w:hAnsi="Arial"/>
        <w:color w:val="f2f2f2"/>
        <w:sz w:val="22"/>
      </w:rPr>
      <w:pPr>
        <w:pBdr/>
        <w:spacing/>
        <w:ind/>
      </w:pPr>
      <w:tblPr>
        <w:tblBorders/>
      </w:tblPr>
      <w:tcPr>
        <w:shd w:val="clear" w:color="auto" w:fill="ffffff"/>
        <w:tcBorders/>
      </w:tcPr>
    </w:tblStylePr>
    <w:tblStylePr w:type="lastCol">
      <w:rPr>
        <w:rFonts w:ascii="Arial" w:hAnsi="Arial"/>
        <w:color w:val="f2f2f2"/>
        <w:sz w:val="22"/>
      </w:rPr>
      <w:pPr>
        <w:pBdr/>
        <w:spacing/>
        <w:ind/>
      </w:pPr>
      <w:tblPr>
        <w:tblBorders/>
      </w:tblPr>
      <w:tcPr>
        <w:shd w:val="clear" w:color="auto" w:fill="ffffff"/>
        <w:tcBorders/>
      </w:tcPr>
    </w:tblStylePr>
    <w:tblStylePr w:type="lastRow">
      <w:rPr>
        <w:rFonts w:ascii="Arial" w:hAnsi="Arial"/>
        <w:color w:val="f2f2f2"/>
        <w:sz w:val="22"/>
      </w:rPr>
      <w:pPr>
        <w:pBdr/>
        <w:spacing/>
        <w:ind/>
      </w:pPr>
      <w:tblPr>
        <w:tblBorders/>
      </w:tblPr>
      <w:tcPr>
        <w:shd w:val="clear" w:color="auto"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Bordered &amp; Lined - Accent"/>
    <w:basedOn w:val="90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fffff"/>
        <w:tcBorders/>
      </w:tcPr>
    </w:tblStylePr>
    <w:tblStylePr w:type="band2Vert">
      <w:rPr>
        <w:rFonts w:ascii="Arial" w:hAnsi="Arial"/>
        <w:color w:val="404040"/>
        <w:sz w:val="22"/>
      </w:rPr>
      <w:pPr>
        <w:pBdr/>
        <w:spacing/>
        <w:ind/>
      </w:pPr>
      <w:tblPr>
        <w:tblBorders/>
      </w:tblPr>
      <w:tcPr>
        <w:shd w:val="clear" w:color="auto" w:fill="ffffff"/>
        <w:tcBorders/>
      </w:tcPr>
    </w:tblStylePr>
    <w:tblStylePr w:type="firstCol">
      <w:rPr>
        <w:rFonts w:ascii="Arial" w:hAnsi="Arial"/>
        <w:color w:val="f2f2f2"/>
        <w:sz w:val="22"/>
      </w:rPr>
      <w:pPr>
        <w:pBdr/>
        <w:spacing/>
        <w:ind/>
      </w:pPr>
      <w:tblPr>
        <w:tblBorders/>
      </w:tblPr>
      <w:tcPr>
        <w:shd w:val="clear" w:color="auto" w:fill="ffffff"/>
        <w:tcBorders/>
      </w:tcPr>
    </w:tblStylePr>
    <w:tblStylePr w:type="firstRow">
      <w:rPr>
        <w:rFonts w:ascii="Arial" w:hAnsi="Arial"/>
        <w:color w:val="f2f2f2"/>
        <w:sz w:val="22"/>
      </w:rPr>
      <w:pPr>
        <w:pBdr/>
        <w:spacing/>
        <w:ind/>
      </w:pPr>
      <w:tblPr>
        <w:tblBorders/>
      </w:tblPr>
      <w:tcPr>
        <w:shd w:val="clear" w:color="auto" w:fill="ffffff"/>
        <w:tcBorders/>
      </w:tcPr>
    </w:tblStylePr>
    <w:tblStylePr w:type="lastCol">
      <w:rPr>
        <w:rFonts w:ascii="Arial" w:hAnsi="Arial"/>
        <w:color w:val="f2f2f2"/>
        <w:sz w:val="22"/>
      </w:rPr>
      <w:pPr>
        <w:pBdr/>
        <w:spacing/>
        <w:ind/>
      </w:pPr>
      <w:tblPr>
        <w:tblBorders/>
      </w:tblPr>
      <w:tcPr>
        <w:shd w:val="clear" w:color="auto" w:fill="ffffff"/>
        <w:tcBorders/>
      </w:tcPr>
    </w:tblStylePr>
    <w:tblStylePr w:type="lastRow">
      <w:rPr>
        <w:rFonts w:ascii="Arial" w:hAnsi="Arial"/>
        <w:color w:val="f2f2f2"/>
        <w:sz w:val="22"/>
      </w:rPr>
      <w:pPr>
        <w:pBdr/>
        <w:spacing/>
        <w:ind/>
      </w:pPr>
      <w:tblPr>
        <w:tblBorders/>
      </w:tblPr>
      <w:tcPr>
        <w:shd w:val="clear" w:color="auto" w:fill="fffff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37">
    <w:name w:val="Heading 1"/>
    <w:basedOn w:val="905"/>
    <w:next w:val="905"/>
    <w:link w:val="838"/>
    <w:uiPriority w:val="9"/>
    <w:qFormat/>
    <w:pPr>
      <w:keepNext w:val="true"/>
      <w:keepLines w:val="true"/>
      <w:pBdr/>
      <w:spacing w:after="200" w:before="480"/>
      <w:ind/>
      <w:outlineLvl w:val="0"/>
    </w:pPr>
    <w:rPr>
      <w:rFonts w:ascii="Arial" w:hAnsi="Arial" w:eastAsia="Arial" w:cs="Arial"/>
      <w:sz w:val="40"/>
      <w:szCs w:val="40"/>
    </w:rPr>
  </w:style>
  <w:style w:type="character" w:styleId="838">
    <w:name w:val="Heading 1 Char"/>
    <w:basedOn w:val="906"/>
    <w:link w:val="837"/>
    <w:uiPriority w:val="9"/>
    <w:pPr>
      <w:pBdr/>
      <w:spacing/>
      <w:ind/>
    </w:pPr>
    <w:rPr>
      <w:rFonts w:ascii="Arial" w:hAnsi="Arial" w:eastAsia="Arial" w:cs="Arial"/>
      <w:sz w:val="40"/>
      <w:szCs w:val="40"/>
    </w:rPr>
  </w:style>
  <w:style w:type="paragraph" w:styleId="839">
    <w:name w:val="Heading 2"/>
    <w:basedOn w:val="905"/>
    <w:next w:val="905"/>
    <w:link w:val="840"/>
    <w:uiPriority w:val="9"/>
    <w:unhideWhenUsed/>
    <w:qFormat/>
    <w:pPr>
      <w:keepNext w:val="true"/>
      <w:keepLines w:val="true"/>
      <w:pBdr/>
      <w:spacing w:after="200" w:before="360"/>
      <w:ind/>
      <w:outlineLvl w:val="1"/>
    </w:pPr>
    <w:rPr>
      <w:rFonts w:ascii="Arial" w:hAnsi="Arial" w:eastAsia="Arial" w:cs="Arial"/>
      <w:sz w:val="34"/>
    </w:rPr>
  </w:style>
  <w:style w:type="character" w:styleId="840">
    <w:name w:val="Heading 2 Char"/>
    <w:basedOn w:val="906"/>
    <w:link w:val="839"/>
    <w:uiPriority w:val="9"/>
    <w:pPr>
      <w:pBdr/>
      <w:spacing/>
      <w:ind/>
    </w:pPr>
    <w:rPr>
      <w:rFonts w:ascii="Arial" w:hAnsi="Arial" w:eastAsia="Arial" w:cs="Arial"/>
      <w:sz w:val="34"/>
    </w:rPr>
  </w:style>
  <w:style w:type="paragraph" w:styleId="841">
    <w:name w:val="Heading 3"/>
    <w:basedOn w:val="905"/>
    <w:next w:val="905"/>
    <w:link w:val="84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842">
    <w:name w:val="Heading 3 Char"/>
    <w:basedOn w:val="906"/>
    <w:link w:val="841"/>
    <w:uiPriority w:val="9"/>
    <w:pPr>
      <w:pBdr/>
      <w:spacing/>
      <w:ind/>
    </w:pPr>
    <w:rPr>
      <w:rFonts w:ascii="Arial" w:hAnsi="Arial" w:eastAsia="Arial" w:cs="Arial"/>
      <w:sz w:val="30"/>
      <w:szCs w:val="30"/>
    </w:rPr>
  </w:style>
  <w:style w:type="paragraph" w:styleId="843">
    <w:name w:val="Heading 4"/>
    <w:basedOn w:val="905"/>
    <w:next w:val="905"/>
    <w:link w:val="84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844">
    <w:name w:val="Heading 4 Char"/>
    <w:basedOn w:val="906"/>
    <w:link w:val="843"/>
    <w:uiPriority w:val="9"/>
    <w:pPr>
      <w:pBdr/>
      <w:spacing/>
      <w:ind/>
    </w:pPr>
    <w:rPr>
      <w:rFonts w:ascii="Arial" w:hAnsi="Arial" w:eastAsia="Arial" w:cs="Arial"/>
      <w:b/>
      <w:bCs/>
      <w:sz w:val="26"/>
      <w:szCs w:val="26"/>
    </w:rPr>
  </w:style>
  <w:style w:type="paragraph" w:styleId="845">
    <w:name w:val="Heading 5"/>
    <w:basedOn w:val="905"/>
    <w:next w:val="905"/>
    <w:link w:val="84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846">
    <w:name w:val="Heading 5 Char"/>
    <w:basedOn w:val="906"/>
    <w:link w:val="845"/>
    <w:uiPriority w:val="9"/>
    <w:pPr>
      <w:pBdr/>
      <w:spacing/>
      <w:ind/>
    </w:pPr>
    <w:rPr>
      <w:rFonts w:ascii="Arial" w:hAnsi="Arial" w:eastAsia="Arial" w:cs="Arial"/>
      <w:b/>
      <w:bCs/>
      <w:sz w:val="24"/>
      <w:szCs w:val="24"/>
    </w:rPr>
  </w:style>
  <w:style w:type="paragraph" w:styleId="847">
    <w:name w:val="Heading 6"/>
    <w:basedOn w:val="905"/>
    <w:next w:val="905"/>
    <w:link w:val="84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848">
    <w:name w:val="Heading 6 Char"/>
    <w:basedOn w:val="906"/>
    <w:link w:val="847"/>
    <w:uiPriority w:val="9"/>
    <w:pPr>
      <w:pBdr/>
      <w:spacing/>
      <w:ind/>
    </w:pPr>
    <w:rPr>
      <w:rFonts w:ascii="Arial" w:hAnsi="Arial" w:eastAsia="Arial" w:cs="Arial"/>
      <w:b/>
      <w:bCs/>
      <w:sz w:val="22"/>
      <w:szCs w:val="22"/>
    </w:rPr>
  </w:style>
  <w:style w:type="paragraph" w:styleId="849">
    <w:name w:val="Heading 7"/>
    <w:basedOn w:val="905"/>
    <w:next w:val="905"/>
    <w:link w:val="85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850">
    <w:name w:val="Heading 7 Char"/>
    <w:basedOn w:val="906"/>
    <w:link w:val="849"/>
    <w:uiPriority w:val="9"/>
    <w:pPr>
      <w:pBdr/>
      <w:spacing/>
      <w:ind/>
    </w:pPr>
    <w:rPr>
      <w:rFonts w:ascii="Arial" w:hAnsi="Arial" w:eastAsia="Arial" w:cs="Arial"/>
      <w:b/>
      <w:bCs/>
      <w:i/>
      <w:iCs/>
      <w:sz w:val="22"/>
      <w:szCs w:val="22"/>
    </w:rPr>
  </w:style>
  <w:style w:type="paragraph" w:styleId="851">
    <w:name w:val="Heading 8"/>
    <w:basedOn w:val="905"/>
    <w:next w:val="905"/>
    <w:link w:val="85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852">
    <w:name w:val="Heading 8 Char"/>
    <w:basedOn w:val="906"/>
    <w:link w:val="851"/>
    <w:uiPriority w:val="9"/>
    <w:pPr>
      <w:pBdr/>
      <w:spacing/>
      <w:ind/>
    </w:pPr>
    <w:rPr>
      <w:rFonts w:ascii="Arial" w:hAnsi="Arial" w:eastAsia="Arial" w:cs="Arial"/>
      <w:i/>
      <w:iCs/>
      <w:sz w:val="22"/>
      <w:szCs w:val="22"/>
    </w:rPr>
  </w:style>
  <w:style w:type="paragraph" w:styleId="853">
    <w:name w:val="Heading 9"/>
    <w:basedOn w:val="905"/>
    <w:next w:val="905"/>
    <w:link w:val="85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854">
    <w:name w:val="Heading 9 Char"/>
    <w:basedOn w:val="906"/>
    <w:link w:val="853"/>
    <w:uiPriority w:val="9"/>
    <w:pPr>
      <w:pBdr/>
      <w:spacing/>
      <w:ind/>
    </w:pPr>
    <w:rPr>
      <w:rFonts w:ascii="Arial" w:hAnsi="Arial" w:eastAsia="Arial" w:cs="Arial"/>
      <w:i/>
      <w:iCs/>
      <w:sz w:val="21"/>
      <w:szCs w:val="21"/>
    </w:rPr>
  </w:style>
  <w:style w:type="paragraph" w:styleId="855">
    <w:name w:val="List Paragraph"/>
    <w:basedOn w:val="905"/>
    <w:uiPriority w:val="34"/>
    <w:qFormat/>
    <w:pPr>
      <w:pBdr/>
      <w:spacing/>
      <w:ind w:left="720"/>
      <w:contextualSpacing w:val="true"/>
    </w:pPr>
  </w:style>
  <w:style w:type="paragraph" w:styleId="856">
    <w:name w:val="No Spacing"/>
    <w:uiPriority w:val="1"/>
    <w:qFormat/>
    <w:pPr>
      <w:pBdr/>
      <w:spacing w:after="0" w:before="0" w:line="240" w:lineRule="auto"/>
      <w:ind/>
    </w:pPr>
  </w:style>
  <w:style w:type="paragraph" w:styleId="857">
    <w:name w:val="Title"/>
    <w:basedOn w:val="905"/>
    <w:next w:val="905"/>
    <w:link w:val="858"/>
    <w:uiPriority w:val="10"/>
    <w:qFormat/>
    <w:pPr>
      <w:pBdr/>
      <w:spacing w:after="200" w:before="300"/>
      <w:ind/>
      <w:contextualSpacing w:val="true"/>
    </w:pPr>
    <w:rPr>
      <w:sz w:val="48"/>
      <w:szCs w:val="48"/>
    </w:rPr>
  </w:style>
  <w:style w:type="character" w:styleId="858">
    <w:name w:val="Title Char"/>
    <w:basedOn w:val="906"/>
    <w:link w:val="857"/>
    <w:uiPriority w:val="10"/>
    <w:pPr>
      <w:pBdr/>
      <w:spacing/>
      <w:ind/>
    </w:pPr>
    <w:rPr>
      <w:sz w:val="48"/>
      <w:szCs w:val="48"/>
    </w:rPr>
  </w:style>
  <w:style w:type="paragraph" w:styleId="859">
    <w:name w:val="Subtitle"/>
    <w:basedOn w:val="905"/>
    <w:next w:val="905"/>
    <w:link w:val="860"/>
    <w:uiPriority w:val="11"/>
    <w:qFormat/>
    <w:pPr>
      <w:pBdr/>
      <w:spacing w:after="200" w:before="200"/>
      <w:ind/>
    </w:pPr>
    <w:rPr>
      <w:sz w:val="24"/>
      <w:szCs w:val="24"/>
    </w:rPr>
  </w:style>
  <w:style w:type="character" w:styleId="860">
    <w:name w:val="Subtitle Char"/>
    <w:basedOn w:val="906"/>
    <w:link w:val="859"/>
    <w:uiPriority w:val="11"/>
    <w:pPr>
      <w:pBdr/>
      <w:spacing/>
      <w:ind/>
    </w:pPr>
    <w:rPr>
      <w:sz w:val="24"/>
      <w:szCs w:val="24"/>
    </w:rPr>
  </w:style>
  <w:style w:type="paragraph" w:styleId="861">
    <w:name w:val="Quote"/>
    <w:basedOn w:val="905"/>
    <w:next w:val="905"/>
    <w:link w:val="862"/>
    <w:uiPriority w:val="29"/>
    <w:qFormat/>
    <w:pPr>
      <w:pBdr/>
      <w:spacing/>
      <w:ind w:right="720" w:left="720"/>
    </w:pPr>
    <w:rPr>
      <w:i/>
    </w:rPr>
  </w:style>
  <w:style w:type="character" w:styleId="862">
    <w:name w:val="Quote Char"/>
    <w:link w:val="861"/>
    <w:uiPriority w:val="29"/>
    <w:pPr>
      <w:pBdr/>
      <w:spacing/>
      <w:ind/>
    </w:pPr>
    <w:rPr>
      <w:i/>
    </w:rPr>
  </w:style>
  <w:style w:type="paragraph" w:styleId="863">
    <w:name w:val="Intense Quote"/>
    <w:basedOn w:val="905"/>
    <w:next w:val="905"/>
    <w:link w:val="864"/>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864">
    <w:name w:val="Intense Quote Char"/>
    <w:link w:val="863"/>
    <w:uiPriority w:val="30"/>
    <w:pPr>
      <w:pBdr/>
      <w:spacing/>
      <w:ind/>
    </w:pPr>
    <w:rPr>
      <w:i/>
    </w:rPr>
  </w:style>
  <w:style w:type="paragraph" w:styleId="865">
    <w:name w:val="Header"/>
    <w:basedOn w:val="905"/>
    <w:link w:val="866"/>
    <w:uiPriority w:val="99"/>
    <w:unhideWhenUsed/>
    <w:pPr>
      <w:pBdr/>
      <w:tabs>
        <w:tab w:val="center" w:leader="none" w:pos="7143"/>
        <w:tab w:val="right" w:leader="none" w:pos="14287"/>
      </w:tabs>
      <w:spacing w:after="0" w:line="240" w:lineRule="auto"/>
      <w:ind/>
    </w:pPr>
  </w:style>
  <w:style w:type="character" w:styleId="866">
    <w:name w:val="Header Char"/>
    <w:basedOn w:val="906"/>
    <w:link w:val="865"/>
    <w:uiPriority w:val="99"/>
    <w:pPr>
      <w:pBdr/>
      <w:spacing/>
      <w:ind/>
    </w:pPr>
  </w:style>
  <w:style w:type="paragraph" w:styleId="867">
    <w:name w:val="Footer"/>
    <w:basedOn w:val="905"/>
    <w:link w:val="868"/>
    <w:uiPriority w:val="99"/>
    <w:unhideWhenUsed/>
    <w:pPr>
      <w:pBdr/>
      <w:tabs>
        <w:tab w:val="center" w:leader="none" w:pos="7143"/>
        <w:tab w:val="right" w:leader="none" w:pos="14287"/>
      </w:tabs>
      <w:spacing w:after="0" w:line="240" w:lineRule="auto"/>
      <w:ind/>
    </w:pPr>
  </w:style>
  <w:style w:type="character" w:styleId="868">
    <w:name w:val="Footer Char"/>
    <w:basedOn w:val="906"/>
    <w:link w:val="867"/>
    <w:uiPriority w:val="99"/>
    <w:pPr>
      <w:pBdr/>
      <w:spacing/>
      <w:ind/>
    </w:pPr>
  </w:style>
  <w:style w:type="table" w:styleId="869">
    <w:name w:val="Table Grid"/>
    <w:basedOn w:val="907"/>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ned"/>
    <w:basedOn w:val="907"/>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f2f2f2"/>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ned - Accent 1"/>
    <w:basedOn w:val="907"/>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6d9f1"/>
        <w:tcBorders/>
      </w:tcPr>
    </w:tblStylePr>
    <w:tblStylePr w:type="band2Vert">
      <w:rPr>
        <w:rFonts w:ascii="Arial" w:hAnsi="Arial"/>
        <w:color w:val="404040"/>
        <w:sz w:val="22"/>
      </w:rPr>
      <w:pPr>
        <w:pBdr/>
        <w:spacing/>
        <w:ind/>
      </w:pPr>
      <w:tblPr>
        <w:tblBorders/>
      </w:tblPr>
      <w:tcPr>
        <w:shd w:val="clear" w:color="auto" w:fill="c6d9f1"/>
        <w:tcBorders/>
      </w:tcPr>
    </w:tblStylePr>
    <w:tblStylePr w:type="firstCol">
      <w:rPr>
        <w:rFonts w:ascii="Arial" w:hAnsi="Arial"/>
        <w:color w:val="f2f2f2"/>
        <w:sz w:val="22"/>
      </w:rPr>
      <w:pPr>
        <w:pBdr/>
        <w:spacing/>
        <w:ind/>
      </w:pPr>
      <w:tblPr>
        <w:tblBorders/>
      </w:tblPr>
      <w:tcPr>
        <w:shd w:val="clear" w:color="auto" w:fill="548dd4"/>
        <w:tcBorders/>
      </w:tcPr>
    </w:tblStylePr>
    <w:tblStylePr w:type="firstRow">
      <w:rPr>
        <w:rFonts w:ascii="Arial" w:hAnsi="Arial"/>
        <w:color w:val="f2f2f2"/>
        <w:sz w:val="22"/>
      </w:rPr>
      <w:pPr>
        <w:pBdr/>
        <w:spacing/>
        <w:ind/>
      </w:pPr>
      <w:tblPr>
        <w:tblBorders/>
      </w:tblPr>
      <w:tcPr>
        <w:shd w:val="clear" w:color="auto" w:fill="548dd4"/>
        <w:tcBorders/>
      </w:tcPr>
    </w:tblStylePr>
    <w:tblStylePr w:type="lastCol">
      <w:rPr>
        <w:rFonts w:ascii="Arial" w:hAnsi="Arial"/>
        <w:color w:val="f2f2f2"/>
        <w:sz w:val="22"/>
      </w:rPr>
      <w:pPr>
        <w:pBdr/>
        <w:spacing/>
        <w:ind/>
      </w:pPr>
      <w:tblPr>
        <w:tblBorders/>
      </w:tblPr>
      <w:tcPr>
        <w:shd w:val="clear" w:color="auto" w:fill="548dd4"/>
        <w:tcBorders/>
      </w:tcPr>
    </w:tblStylePr>
    <w:tblStylePr w:type="lastRow">
      <w:rPr>
        <w:rFonts w:ascii="Arial" w:hAnsi="Arial"/>
        <w:color w:val="f2f2f2"/>
        <w:sz w:val="22"/>
      </w:rPr>
      <w:pPr>
        <w:pBdr/>
        <w:spacing/>
        <w:ind/>
      </w:pPr>
      <w:tblPr>
        <w:tblBorders/>
      </w:tblPr>
      <w:tcPr>
        <w:shd w:val="clear" w:color="auto" w:fill="548dd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ned - Accent 2"/>
    <w:basedOn w:val="907"/>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bdb"/>
        <w:tcBorders/>
      </w:tcPr>
    </w:tblStylePr>
    <w:tblStylePr w:type="band2Vert">
      <w:rPr>
        <w:rFonts w:ascii="Arial" w:hAnsi="Arial"/>
        <w:color w:val="404040"/>
        <w:sz w:val="22"/>
      </w:rPr>
      <w:pPr>
        <w:pBdr/>
        <w:spacing/>
        <w:ind/>
      </w:pPr>
      <w:tblPr>
        <w:tblBorders/>
      </w:tblPr>
      <w:tcPr>
        <w:shd w:val="clear" w:color="auto" w:fill="f2dbdb"/>
        <w:tcBorders/>
      </w:tcPr>
    </w:tblStylePr>
    <w:tblStylePr w:type="firstCol">
      <w:rPr>
        <w:rFonts w:ascii="Arial" w:hAnsi="Arial"/>
        <w:color w:val="f2f2f2"/>
        <w:sz w:val="22"/>
      </w:rPr>
      <w:pPr>
        <w:pBdr/>
        <w:spacing/>
        <w:ind/>
      </w:pPr>
      <w:tblPr>
        <w:tblBorders/>
      </w:tblPr>
      <w:tcPr>
        <w:shd w:val="clear" w:color="auto" w:fill="d99594"/>
        <w:tcBorders/>
      </w:tcPr>
    </w:tblStylePr>
    <w:tblStylePr w:type="firstRow">
      <w:rPr>
        <w:rFonts w:ascii="Arial" w:hAnsi="Arial"/>
        <w:color w:val="f2f2f2"/>
        <w:sz w:val="22"/>
      </w:rPr>
      <w:pPr>
        <w:pBdr/>
        <w:spacing/>
        <w:ind/>
      </w:pPr>
      <w:tblPr>
        <w:tblBorders/>
      </w:tblPr>
      <w:tcPr>
        <w:shd w:val="clear" w:color="auto" w:fill="d99594"/>
        <w:tcBorders/>
      </w:tcPr>
    </w:tblStylePr>
    <w:tblStylePr w:type="lastCol">
      <w:rPr>
        <w:rFonts w:ascii="Arial" w:hAnsi="Arial"/>
        <w:color w:val="f2f2f2"/>
        <w:sz w:val="22"/>
      </w:rPr>
      <w:pPr>
        <w:pBdr/>
        <w:spacing/>
        <w:ind/>
      </w:pPr>
      <w:tblPr>
        <w:tblBorders/>
      </w:tblPr>
      <w:tcPr>
        <w:shd w:val="clear" w:color="auto" w:fill="d99594"/>
        <w:tcBorders/>
      </w:tcPr>
    </w:tblStylePr>
    <w:tblStylePr w:type="lastRow">
      <w:rPr>
        <w:rFonts w:ascii="Arial" w:hAnsi="Arial"/>
        <w:color w:val="f2f2f2"/>
        <w:sz w:val="22"/>
      </w:rPr>
      <w:pPr>
        <w:pBdr/>
        <w:spacing/>
        <w:ind/>
      </w:pPr>
      <w:tblPr>
        <w:tblBorders/>
      </w:tblPr>
      <w:tcPr>
        <w:shd w:val="clear" w:color="auto" w:fill="d9959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ned - Accent 3"/>
    <w:basedOn w:val="907"/>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d"/>
        <w:tcBorders/>
      </w:tcPr>
    </w:tblStylePr>
    <w:tblStylePr w:type="band2Vert">
      <w:rPr>
        <w:rFonts w:ascii="Arial" w:hAnsi="Arial"/>
        <w:color w:val="404040"/>
        <w:sz w:val="22"/>
      </w:rPr>
      <w:pPr>
        <w:pBdr/>
        <w:spacing/>
        <w:ind/>
      </w:pPr>
      <w:tblPr>
        <w:tblBorders/>
      </w:tblPr>
      <w:tcPr>
        <w:shd w:val="clear" w:color="auto" w:fill="eaf1dd"/>
        <w:tcBorders/>
      </w:tcPr>
    </w:tblStylePr>
    <w:tblStylePr w:type="firstCol">
      <w:rPr>
        <w:rFonts w:ascii="Arial" w:hAnsi="Arial"/>
        <w:color w:val="f2f2f2"/>
        <w:sz w:val="22"/>
      </w:rPr>
      <w:pPr>
        <w:pBdr/>
        <w:spacing/>
        <w:ind/>
      </w:pPr>
      <w:tblPr>
        <w:tblBorders/>
      </w:tblPr>
      <w:tcPr>
        <w:shd w:val="clear" w:color="auto" w:fill="9bb559"/>
        <w:tcBorders/>
      </w:tcPr>
    </w:tblStylePr>
    <w:tblStylePr w:type="firstRow">
      <w:rPr>
        <w:rFonts w:ascii="Arial" w:hAnsi="Arial"/>
        <w:color w:val="f2f2f2"/>
        <w:sz w:val="22"/>
      </w:rPr>
      <w:pPr>
        <w:pBdr/>
        <w:spacing/>
        <w:ind/>
      </w:pPr>
      <w:tblPr>
        <w:tblBorders/>
      </w:tblPr>
      <w:tcPr>
        <w:shd w:val="clear" w:color="auto" w:fill="9bb559"/>
        <w:tcBorders/>
      </w:tcPr>
    </w:tblStylePr>
    <w:tblStylePr w:type="lastCol">
      <w:rPr>
        <w:rFonts w:ascii="Arial" w:hAnsi="Arial"/>
        <w:color w:val="f2f2f2"/>
        <w:sz w:val="22"/>
      </w:rPr>
      <w:pPr>
        <w:pBdr/>
        <w:spacing/>
        <w:ind/>
      </w:pPr>
      <w:tblPr>
        <w:tblBorders/>
      </w:tblPr>
      <w:tcPr>
        <w:shd w:val="clear" w:color="auto" w:fill="9bb559"/>
        <w:tcBorders/>
      </w:tcPr>
    </w:tblStylePr>
    <w:tblStylePr w:type="lastRow">
      <w:rPr>
        <w:rFonts w:ascii="Arial" w:hAnsi="Arial"/>
        <w:color w:val="f2f2f2"/>
        <w:sz w:val="22"/>
      </w:rPr>
      <w:pPr>
        <w:pBdr/>
        <w:spacing/>
        <w:ind/>
      </w:pPr>
      <w:tblPr>
        <w:tblBorders/>
      </w:tblPr>
      <w:tcPr>
        <w:shd w:val="clear" w:color="auto" w:fill="9bb5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ned - Accent 4"/>
    <w:basedOn w:val="907"/>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7"/>
        <w:tcBorders/>
      </w:tcPr>
    </w:tblStylePr>
    <w:tblStylePr w:type="firstRow">
      <w:rPr>
        <w:rFonts w:ascii="Arial" w:hAnsi="Arial"/>
        <w:color w:val="f2f2f2"/>
        <w:sz w:val="22"/>
      </w:rPr>
      <w:pPr>
        <w:pBdr/>
        <w:spacing/>
        <w:ind/>
      </w:pPr>
      <w:tblPr>
        <w:tblBorders/>
      </w:tblPr>
      <w:tcPr>
        <w:shd w:val="clear" w:color="auto" w:fill="b2a1c7"/>
        <w:tcBorders/>
      </w:tcPr>
    </w:tblStylePr>
    <w:tblStylePr w:type="lastCol">
      <w:rPr>
        <w:rFonts w:ascii="Arial" w:hAnsi="Arial"/>
        <w:color w:val="f2f2f2"/>
        <w:sz w:val="22"/>
      </w:rPr>
      <w:pPr>
        <w:pBdr/>
        <w:spacing/>
        <w:ind/>
      </w:pPr>
      <w:tblPr>
        <w:tblBorders/>
      </w:tblPr>
      <w:tcPr>
        <w:shd w:val="clear" w:color="auto" w:fill="b2a1c7"/>
        <w:tcBorders/>
      </w:tcPr>
    </w:tblStylePr>
    <w:tblStylePr w:type="lastRow">
      <w:rPr>
        <w:rFonts w:ascii="Arial" w:hAnsi="Arial"/>
        <w:color w:val="f2f2f2"/>
        <w:sz w:val="22"/>
      </w:rPr>
      <w:pPr>
        <w:pBdr/>
        <w:spacing/>
        <w:ind/>
      </w:pPr>
      <w:tblPr>
        <w:tblBorders/>
      </w:tblPr>
      <w:tcPr>
        <w:shd w:val="clear" w:color="auto" w:fill="b2a1c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ned - Accent 5"/>
    <w:basedOn w:val="907"/>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ned - Accent 6"/>
    <w:basedOn w:val="907"/>
    <w:uiPriority w:val="99"/>
    <w:pPr>
      <w:pBdr/>
      <w:spacing w:after="0" w:line="240" w:lineRule="auto"/>
      <w:ind/>
    </w:pPr>
    <w:rPr>
      <w:color w:val="404040"/>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9"/>
        <w:tcBorders/>
      </w:tcPr>
    </w:tblStylePr>
    <w:tblStylePr w:type="band2Vert">
      <w:rPr>
        <w:rFonts w:ascii="Arial" w:hAnsi="Arial"/>
        <w:color w:val="404040"/>
        <w:sz w:val="22"/>
      </w:rPr>
      <w:pPr>
        <w:pBdr/>
        <w:spacing/>
        <w:ind/>
      </w:pPr>
      <w:tblPr>
        <w:tblBorders/>
      </w:tblPr>
      <w:tcPr>
        <w:shd w:val="clear" w:color="auto" w:fill="fde9d9"/>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Bordered"/>
    <w:basedOn w:val="907"/>
    <w:uiPriority w:val="99"/>
    <w:pPr>
      <w:pBdr/>
      <w:spacing w:after="0" w:line="240" w:lineRule="auto"/>
      <w:ind/>
    </w:p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d9d9d9" w:sz="4" w:space="0"/>
          <w:left w:val="single" w:color="d9d9d9" w:sz="4" w:space="0"/>
          <w:bottom w:val="single" w:color="d9d9d9" w:sz="4" w:space="0"/>
          <w:right w:val="single" w:color="d9d9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7f7f7f" w:sz="12" w:space="0"/>
        </w:tcBorders>
      </w:tcPr>
    </w:tblStylePr>
    <w:tblStylePr w:type="firstRow">
      <w:rPr>
        <w:rFonts w:ascii="Arial" w:hAnsi="Arial"/>
        <w:color w:val="404040"/>
        <w:sz w:val="22"/>
      </w:rPr>
      <w:pPr>
        <w:pBdr/>
        <w:spacing/>
        <w:ind/>
      </w:pPr>
      <w:tblPr>
        <w:tblBorders/>
      </w:tblPr>
      <w:tcPr>
        <w:tcBorders>
          <w:bottom w:val="single" w:color="7f7f7f" w:sz="12" w:space="0"/>
        </w:tcBorders>
      </w:tcPr>
    </w:tblStylePr>
    <w:tblStylePr w:type="lastCol">
      <w:rPr>
        <w:rFonts w:ascii="Arial" w:hAnsi="Arial"/>
        <w:color w:val="404040"/>
        <w:sz w:val="22"/>
      </w:rPr>
      <w:pPr>
        <w:pBdr/>
        <w:spacing/>
        <w:ind/>
      </w:pPr>
      <w:tblPr>
        <w:tblBorders/>
      </w:tblPr>
      <w:tcPr>
        <w:tcBorders>
          <w:left w:val="single" w:color="7f7f7f" w:sz="12" w:space="0"/>
        </w:tcBorders>
      </w:tcPr>
    </w:tblStylePr>
    <w:tblStylePr w:type="lastRow">
      <w:rPr>
        <w:rFonts w:ascii="Arial" w:hAnsi="Arial"/>
        <w:color w:val="404040"/>
        <w:sz w:val="22"/>
      </w:rPr>
      <w:pPr>
        <w:pBdr/>
        <w:spacing/>
        <w:ind/>
      </w:pPr>
      <w:tblPr>
        <w:tblBorders/>
      </w:tblPr>
      <w:tcPr>
        <w:tcBorders>
          <w:top w:val="single" w:color="7f7f7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Bordered - Accent 1"/>
    <w:basedOn w:val="907"/>
    <w:uiPriority w:val="99"/>
    <w:pPr>
      <w:pBdr/>
      <w:spacing w:after="0" w:line="240" w:lineRule="auto"/>
      <w:ind/>
    </w:pPr>
    <w:tblPr>
      <w:tblStyleRowBandSize w:val="1"/>
      <w:tblStyleColBandSize w:val="1"/>
      <w:tblInd w:w="0" w:type="dxa"/>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b8cce4" w:sz="4" w:space="0"/>
          <w:left w:val="single" w:color="b8cce4" w:sz="4" w:space="0"/>
          <w:bottom w:val="single" w:color="b8cce4" w:sz="4" w:space="0"/>
          <w:right w:val="single" w:color="b8cce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4f81bd" w:sz="12" w:space="0"/>
        </w:tcBorders>
      </w:tcPr>
    </w:tblStylePr>
    <w:tblStylePr w:type="firstRow">
      <w:rPr>
        <w:rFonts w:ascii="Arial" w:hAnsi="Arial"/>
        <w:color w:val="404040"/>
        <w:sz w:val="22"/>
      </w:rPr>
      <w:pPr>
        <w:pBdr/>
        <w:spacing/>
        <w:ind/>
      </w:pPr>
      <w:tblPr>
        <w:tblBorders/>
      </w:tblPr>
      <w:tcPr>
        <w:tcBorders>
          <w:bottom w:val="single" w:color="4f81bd" w:sz="12" w:space="0"/>
        </w:tcBorders>
      </w:tcPr>
    </w:tblStylePr>
    <w:tblStylePr w:type="lastCol">
      <w:rPr>
        <w:rFonts w:ascii="Arial" w:hAnsi="Arial"/>
        <w:color w:val="404040"/>
        <w:sz w:val="22"/>
      </w:rPr>
      <w:pPr>
        <w:pBdr/>
        <w:spacing/>
        <w:ind/>
      </w:pPr>
      <w:tblPr>
        <w:tblBorders/>
      </w:tblPr>
      <w:tcPr>
        <w:tcBorders>
          <w:left w:val="single" w:color="4f81bd" w:sz="12" w:space="0"/>
        </w:tcBorders>
      </w:tcPr>
    </w:tblStylePr>
    <w:tblStylePr w:type="lastRow">
      <w:rPr>
        <w:rFonts w:ascii="Arial" w:hAnsi="Arial"/>
        <w:color w:val="404040"/>
        <w:sz w:val="22"/>
      </w:rPr>
      <w:pPr>
        <w:pBdr/>
        <w:spacing/>
        <w:ind/>
      </w:pPr>
      <w:tblPr>
        <w:tblBorders/>
      </w:tblPr>
      <w:tcPr>
        <w:tcBorders>
          <w:top w:val="single" w:color="4f81bd"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Bordered - Accent 2"/>
    <w:basedOn w:val="907"/>
    <w:uiPriority w:val="99"/>
    <w:pPr>
      <w:pBdr/>
      <w:spacing w:after="0" w:line="240" w:lineRule="auto"/>
      <w:ind/>
    </w:pPr>
    <w:tblPr>
      <w:tblStyleRowBandSize w:val="1"/>
      <w:tblStyleColBandSize w:val="1"/>
      <w:tblInd w:w="0" w:type="dxa"/>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e5b8b7" w:sz="4" w:space="0"/>
          <w:left w:val="single" w:color="e5b8b7" w:sz="4" w:space="0"/>
          <w:bottom w:val="single" w:color="e5b8b7" w:sz="4" w:space="0"/>
          <w:right w:val="single" w:color="e5b8b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d99594" w:sz="12" w:space="0"/>
        </w:tcBorders>
      </w:tcPr>
    </w:tblStylePr>
    <w:tblStylePr w:type="firstRow">
      <w:rPr>
        <w:rFonts w:ascii="Arial" w:hAnsi="Arial"/>
        <w:color w:val="404040"/>
        <w:sz w:val="22"/>
      </w:rPr>
      <w:pPr>
        <w:pBdr/>
        <w:spacing/>
        <w:ind/>
      </w:pPr>
      <w:tblPr>
        <w:tblBorders/>
      </w:tblPr>
      <w:tcPr>
        <w:tcBorders>
          <w:bottom w:val="single" w:color="d99594" w:sz="12" w:space="0"/>
        </w:tcBorders>
      </w:tcPr>
    </w:tblStylePr>
    <w:tblStylePr w:type="lastCol">
      <w:rPr>
        <w:rFonts w:ascii="Arial" w:hAnsi="Arial"/>
        <w:color w:val="404040"/>
        <w:sz w:val="22"/>
      </w:rPr>
      <w:pPr>
        <w:pBdr/>
        <w:spacing/>
        <w:ind/>
      </w:pPr>
      <w:tblPr>
        <w:tblBorders/>
      </w:tblPr>
      <w:tcPr>
        <w:tcBorders>
          <w:left w:val="single" w:color="d99594" w:sz="12" w:space="0"/>
        </w:tcBorders>
      </w:tcPr>
    </w:tblStylePr>
    <w:tblStylePr w:type="lastRow">
      <w:rPr>
        <w:rFonts w:ascii="Arial" w:hAnsi="Arial"/>
        <w:color w:val="404040"/>
        <w:sz w:val="22"/>
      </w:rPr>
      <w:pPr>
        <w:pBdr/>
        <w:spacing/>
        <w:ind/>
      </w:pPr>
      <w:tblPr>
        <w:tblBorders/>
      </w:tblPr>
      <w:tcPr>
        <w:tcBorders>
          <w:top w:val="single" w:color="d99594"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Bordered - Accent 3"/>
    <w:basedOn w:val="907"/>
    <w:uiPriority w:val="99"/>
    <w:pPr>
      <w:pBdr/>
      <w:spacing w:after="0" w:line="240" w:lineRule="auto"/>
      <w:ind/>
    </w:pPr>
    <w:tblPr>
      <w:tblStyleRowBandSize w:val="1"/>
      <w:tblStyleColBandSize w:val="1"/>
      <w:tblInd w:w="0" w:type="dxa"/>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d6e3bc" w:sz="4" w:space="0"/>
          <w:left w:val="single" w:color="d6e3bc" w:sz="4" w:space="0"/>
          <w:bottom w:val="single" w:color="d6e3bc" w:sz="4" w:space="0"/>
          <w:right w:val="single" w:color="d6e3bc"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c2d69b" w:sz="12" w:space="0"/>
        </w:tcBorders>
      </w:tcPr>
    </w:tblStylePr>
    <w:tblStylePr w:type="firstRow">
      <w:rPr>
        <w:rFonts w:ascii="Arial" w:hAnsi="Arial"/>
        <w:color w:val="404040"/>
        <w:sz w:val="22"/>
      </w:rPr>
      <w:pPr>
        <w:pBdr/>
        <w:spacing/>
        <w:ind/>
      </w:pPr>
      <w:tblPr>
        <w:tblBorders/>
      </w:tblPr>
      <w:tcPr>
        <w:tcBorders>
          <w:bottom w:val="single" w:color="c2d69b" w:sz="12" w:space="0"/>
        </w:tcBorders>
      </w:tcPr>
    </w:tblStylePr>
    <w:tblStylePr w:type="lastCol">
      <w:rPr>
        <w:rFonts w:ascii="Arial" w:hAnsi="Arial"/>
        <w:color w:val="404040"/>
        <w:sz w:val="22"/>
      </w:rPr>
      <w:pPr>
        <w:pBdr/>
        <w:spacing/>
        <w:ind/>
      </w:pPr>
      <w:tblPr>
        <w:tblBorders/>
      </w:tblPr>
      <w:tcPr>
        <w:tcBorders>
          <w:left w:val="single" w:color="c2d69b" w:sz="12" w:space="0"/>
        </w:tcBorders>
      </w:tcPr>
    </w:tblStylePr>
    <w:tblStylePr w:type="lastRow">
      <w:rPr>
        <w:rFonts w:ascii="Arial" w:hAnsi="Arial"/>
        <w:color w:val="404040"/>
        <w:sz w:val="22"/>
      </w:rPr>
      <w:pPr>
        <w:pBdr/>
        <w:spacing/>
        <w:ind/>
      </w:pPr>
      <w:tblPr>
        <w:tblBorders/>
      </w:tblPr>
      <w:tcPr>
        <w:tcBorders>
          <w:top w:val="single" w:color="c2d69b"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Bordered - Accent 4"/>
    <w:basedOn w:val="907"/>
    <w:uiPriority w:val="99"/>
    <w:pPr>
      <w:pBdr/>
      <w:spacing w:after="0" w:line="240" w:lineRule="auto"/>
      <w:ind/>
    </w:pPr>
    <w:tblPr>
      <w:tblStyleRowBandSize w:val="1"/>
      <w:tblStyleColBandSize w:val="1"/>
      <w:tblInd w:w="0" w:type="dxa"/>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ccc0d9" w:sz="4" w:space="0"/>
          <w:left w:val="single" w:color="ccc0d9" w:sz="4" w:space="0"/>
          <w:bottom w:val="single" w:color="ccc0d9" w:sz="4" w:space="0"/>
          <w:right w:val="single" w:color="ccc0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b2a1c7" w:sz="12" w:space="0"/>
        </w:tcBorders>
      </w:tcPr>
    </w:tblStylePr>
    <w:tblStylePr w:type="firstRow">
      <w:rPr>
        <w:rFonts w:ascii="Arial" w:hAnsi="Arial"/>
        <w:color w:val="404040"/>
        <w:sz w:val="22"/>
      </w:rPr>
      <w:pPr>
        <w:pBdr/>
        <w:spacing/>
        <w:ind/>
      </w:pPr>
      <w:tblPr>
        <w:tblBorders/>
      </w:tblPr>
      <w:tcPr>
        <w:tcBorders>
          <w:bottom w:val="single" w:color="b2a1c7" w:sz="12" w:space="0"/>
        </w:tcBorders>
      </w:tcPr>
    </w:tblStylePr>
    <w:tblStylePr w:type="lastCol">
      <w:rPr>
        <w:rFonts w:ascii="Arial" w:hAnsi="Arial"/>
        <w:color w:val="404040"/>
        <w:sz w:val="22"/>
      </w:rPr>
      <w:pPr>
        <w:pBdr/>
        <w:spacing/>
        <w:ind/>
      </w:pPr>
      <w:tblPr>
        <w:tblBorders/>
      </w:tblPr>
      <w:tcPr>
        <w:tcBorders>
          <w:left w:val="single" w:color="b2a1c7" w:sz="12" w:space="0"/>
        </w:tcBorders>
      </w:tcPr>
    </w:tblStylePr>
    <w:tblStylePr w:type="lastRow">
      <w:rPr>
        <w:rFonts w:ascii="Arial" w:hAnsi="Arial"/>
        <w:color w:val="404040"/>
        <w:sz w:val="22"/>
      </w:rPr>
      <w:pPr>
        <w:pBdr/>
        <w:spacing/>
        <w:ind/>
      </w:pPr>
      <w:tblPr>
        <w:tblBorders/>
      </w:tblPr>
      <w:tcPr>
        <w:tcBorders>
          <w:top w:val="single" w:color="b2a1c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Bordered - Accent 5"/>
    <w:basedOn w:val="907"/>
    <w:uiPriority w:val="99"/>
    <w:pPr>
      <w:pBdr/>
      <w:spacing w:after="0" w:line="240" w:lineRule="auto"/>
      <w:ind/>
    </w:p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b6dde8" w:sz="4" w:space="0"/>
          <w:left w:val="single" w:color="b6dde8" w:sz="4" w:space="0"/>
          <w:bottom w:val="single" w:color="b6dde8" w:sz="4" w:space="0"/>
          <w:right w:val="single" w:color="b6dde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92cddc" w:sz="12" w:space="0"/>
        </w:tcBorders>
      </w:tcPr>
    </w:tblStylePr>
    <w:tblStylePr w:type="firstRow">
      <w:rPr>
        <w:rFonts w:ascii="Arial" w:hAnsi="Arial"/>
        <w:color w:val="404040"/>
        <w:sz w:val="22"/>
      </w:rPr>
      <w:pPr>
        <w:pBdr/>
        <w:spacing/>
        <w:ind/>
      </w:pPr>
      <w:tblPr>
        <w:tblBorders/>
      </w:tblPr>
      <w:tcPr>
        <w:tcBorders>
          <w:bottom w:val="single" w:color="92cddc" w:sz="12" w:space="0"/>
        </w:tcBorders>
      </w:tcPr>
    </w:tblStylePr>
    <w:tblStylePr w:type="lastCol">
      <w:rPr>
        <w:rFonts w:ascii="Arial" w:hAnsi="Arial"/>
        <w:color w:val="404040"/>
        <w:sz w:val="22"/>
      </w:rPr>
      <w:pPr>
        <w:pBdr/>
        <w:spacing/>
        <w:ind/>
      </w:pPr>
      <w:tblPr>
        <w:tblBorders/>
      </w:tblPr>
      <w:tcPr>
        <w:tcBorders>
          <w:left w:val="single" w:color="92cddc" w:sz="12" w:space="0"/>
        </w:tcBorders>
      </w:tcPr>
    </w:tblStylePr>
    <w:tblStylePr w:type="lastRow">
      <w:rPr>
        <w:rFonts w:ascii="Arial" w:hAnsi="Arial"/>
        <w:color w:val="404040"/>
        <w:sz w:val="22"/>
      </w:rPr>
      <w:pPr>
        <w:pBdr/>
        <w:spacing/>
        <w:ind/>
      </w:pPr>
      <w:tblPr>
        <w:tblBorders/>
      </w:tblPr>
      <w:tcPr>
        <w:tcBorders>
          <w:top w:val="single" w:color="92cddc"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Bordered - Accent 6"/>
    <w:basedOn w:val="907"/>
    <w:uiPriority w:val="99"/>
    <w:pPr>
      <w:pBdr/>
      <w:spacing w:after="0" w:line="240" w:lineRule="auto"/>
      <w:ind/>
    </w:p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fbd4b4" w:sz="4" w:space="0"/>
          <w:left w:val="single" w:color="fbd4b4" w:sz="4" w:space="0"/>
          <w:bottom w:val="single" w:color="fbd4b4" w:sz="4" w:space="0"/>
          <w:right w:val="single" w:color="fbd4b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fabf8f" w:sz="12" w:space="0"/>
        </w:tcBorders>
      </w:tcPr>
    </w:tblStylePr>
    <w:tblStylePr w:type="firstRow">
      <w:rPr>
        <w:rFonts w:ascii="Arial" w:hAnsi="Arial"/>
        <w:color w:val="404040"/>
        <w:sz w:val="22"/>
      </w:rPr>
      <w:pPr>
        <w:pBdr/>
        <w:spacing/>
        <w:ind/>
      </w:pPr>
      <w:tblPr>
        <w:tblBorders/>
      </w:tblPr>
      <w:tcPr>
        <w:tcBorders>
          <w:bottom w:val="single" w:color="fabf8f" w:sz="12" w:space="0"/>
        </w:tcBorders>
      </w:tcPr>
    </w:tblStylePr>
    <w:tblStylePr w:type="lastCol">
      <w:rPr>
        <w:rFonts w:ascii="Arial" w:hAnsi="Arial"/>
        <w:color w:val="404040"/>
        <w:sz w:val="22"/>
      </w:rPr>
      <w:pPr>
        <w:pBdr/>
        <w:spacing/>
        <w:ind/>
      </w:pPr>
      <w:tblPr>
        <w:tblBorders/>
      </w:tblPr>
      <w:tcPr>
        <w:tcBorders>
          <w:left w:val="single" w:color="fabf8f" w:sz="12" w:space="0"/>
        </w:tcBorders>
      </w:tcPr>
    </w:tblStylePr>
    <w:tblStylePr w:type="lastRow">
      <w:rPr>
        <w:rFonts w:ascii="Arial" w:hAnsi="Arial"/>
        <w:color w:val="404040"/>
        <w:sz w:val="22"/>
      </w:rPr>
      <w:pPr>
        <w:pBdr/>
        <w:spacing/>
        <w:ind/>
      </w:pPr>
      <w:tblPr>
        <w:tblBorders/>
      </w:tblPr>
      <w:tcPr>
        <w:tcBorders>
          <w:top w:val="single" w:color="fabf8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Bordered &amp; Lined"/>
    <w:basedOn w:val="907"/>
    <w:uiPriority w:val="99"/>
    <w:pPr>
      <w:pBdr/>
      <w:spacing w:after="0" w:line="240" w:lineRule="auto"/>
      <w:ind/>
    </w:pPr>
    <w:rPr>
      <w:color w:val="404040"/>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d9d9d9"/>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Bordered &amp; Lined - Accent 1"/>
    <w:basedOn w:val="907"/>
    <w:uiPriority w:val="99"/>
    <w:pPr>
      <w:pBdr/>
      <w:spacing w:after="0" w:line="240" w:lineRule="auto"/>
      <w:ind/>
    </w:pPr>
    <w:rPr>
      <w:color w:val="404040"/>
    </w:rPr>
    <w:tblPr>
      <w:tblStyleRowBandSize w:val="1"/>
      <w:tblStyleColBandSize w:val="1"/>
      <w:tblInd w:w="0" w:type="dxa"/>
      <w:tblBorders>
        <w:top w:val="single" w:color="1f497d" w:sz="4" w:space="0"/>
        <w:left w:val="single" w:color="1f497d" w:sz="4" w:space="0"/>
        <w:bottom w:val="single" w:color="1f497d" w:sz="4" w:space="0"/>
        <w:right w:val="single" w:color="1f497d" w:sz="4" w:space="0"/>
        <w:insideH w:val="single" w:color="1f497d" w:sz="4" w:space="0"/>
        <w:insideV w:val="single" w:color="1f497d"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6d9f1"/>
        <w:tcBorders/>
      </w:tcPr>
    </w:tblStylePr>
    <w:tblStylePr w:type="band2Vert">
      <w:rPr>
        <w:rFonts w:ascii="Arial" w:hAnsi="Arial"/>
        <w:color w:val="404040"/>
        <w:sz w:val="22"/>
      </w:rPr>
      <w:pPr>
        <w:pBdr/>
        <w:spacing/>
        <w:ind/>
      </w:pPr>
      <w:tblPr>
        <w:tblBorders/>
      </w:tblPr>
      <w:tcPr>
        <w:shd w:val="clear" w:color="auto" w:fill="c6d9f1"/>
        <w:tcBorders/>
      </w:tcPr>
    </w:tblStylePr>
    <w:tblStylePr w:type="firstCol">
      <w:rPr>
        <w:rFonts w:ascii="Arial" w:hAnsi="Arial"/>
        <w:color w:val="f2f2f2"/>
        <w:sz w:val="22"/>
      </w:rPr>
      <w:pPr>
        <w:pBdr/>
        <w:spacing/>
        <w:ind/>
      </w:pPr>
      <w:tblPr>
        <w:tblBorders/>
      </w:tblPr>
      <w:tcPr>
        <w:shd w:val="clear" w:color="auto" w:fill="548dd4"/>
        <w:tcBorders/>
      </w:tcPr>
    </w:tblStylePr>
    <w:tblStylePr w:type="firstRow">
      <w:rPr>
        <w:rFonts w:ascii="Arial" w:hAnsi="Arial"/>
        <w:color w:val="f2f2f2"/>
        <w:sz w:val="22"/>
      </w:rPr>
      <w:pPr>
        <w:pBdr/>
        <w:spacing/>
        <w:ind/>
      </w:pPr>
      <w:tblPr>
        <w:tblBorders/>
      </w:tblPr>
      <w:tcPr>
        <w:shd w:val="clear" w:color="auto" w:fill="548dd4"/>
        <w:tcBorders/>
      </w:tcPr>
    </w:tblStylePr>
    <w:tblStylePr w:type="lastCol">
      <w:rPr>
        <w:rFonts w:ascii="Arial" w:hAnsi="Arial"/>
        <w:color w:val="f2f2f2"/>
        <w:sz w:val="22"/>
      </w:rPr>
      <w:pPr>
        <w:pBdr/>
        <w:spacing/>
        <w:ind/>
      </w:pPr>
      <w:tblPr>
        <w:tblBorders/>
      </w:tblPr>
      <w:tcPr>
        <w:shd w:val="clear" w:color="auto" w:fill="548dd4"/>
        <w:tcBorders/>
      </w:tcPr>
    </w:tblStylePr>
    <w:tblStylePr w:type="lastRow">
      <w:rPr>
        <w:rFonts w:ascii="Arial" w:hAnsi="Arial"/>
        <w:color w:val="f2f2f2"/>
        <w:sz w:val="22"/>
      </w:rPr>
      <w:pPr>
        <w:pBdr/>
        <w:spacing/>
        <w:ind/>
      </w:pPr>
      <w:tblPr>
        <w:tblBorders/>
      </w:tblPr>
      <w:tcPr>
        <w:shd w:val="clear" w:color="auto" w:fill="548dd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Bordered &amp; Lined - Accent 2"/>
    <w:basedOn w:val="907"/>
    <w:uiPriority w:val="99"/>
    <w:pPr>
      <w:pBdr/>
      <w:spacing w:after="0" w:line="240" w:lineRule="auto"/>
      <w:ind/>
    </w:pPr>
    <w:rPr>
      <w:color w:val="404040"/>
    </w:rPr>
    <w:tblPr>
      <w:tblStyleRowBandSize w:val="1"/>
      <w:tblStyleColBandSize w:val="1"/>
      <w:tblInd w:w="0" w:type="dxa"/>
      <w:tblBorders>
        <w:top w:val="single" w:color="c0504d" w:sz="4" w:space="0"/>
        <w:left w:val="single" w:color="c0504d" w:sz="4" w:space="0"/>
        <w:bottom w:val="single" w:color="c0504d" w:sz="4" w:space="0"/>
        <w:right w:val="single" w:color="c0504d" w:sz="4" w:space="0"/>
        <w:insideH w:val="single" w:color="c0504d" w:sz="4" w:space="0"/>
        <w:insideV w:val="single" w:color="c0504d"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bdb"/>
        <w:tcBorders/>
      </w:tcPr>
    </w:tblStylePr>
    <w:tblStylePr w:type="band2Vert">
      <w:rPr>
        <w:rFonts w:ascii="Arial" w:hAnsi="Arial"/>
        <w:color w:val="404040"/>
        <w:sz w:val="22"/>
      </w:rPr>
      <w:pPr>
        <w:pBdr/>
        <w:spacing/>
        <w:ind/>
      </w:pPr>
      <w:tblPr>
        <w:tblBorders/>
      </w:tblPr>
      <w:tcPr>
        <w:shd w:val="clear" w:color="auto" w:fill="f2dbdb"/>
        <w:tcBorders/>
      </w:tcPr>
    </w:tblStylePr>
    <w:tblStylePr w:type="firstCol">
      <w:rPr>
        <w:rFonts w:ascii="Arial" w:hAnsi="Arial"/>
        <w:color w:val="f2f2f2"/>
        <w:sz w:val="22"/>
      </w:rPr>
      <w:pPr>
        <w:pBdr/>
        <w:spacing/>
        <w:ind/>
      </w:pPr>
      <w:tblPr>
        <w:tblBorders/>
      </w:tblPr>
      <w:tcPr>
        <w:shd w:val="clear" w:color="auto" w:fill="d99594"/>
        <w:tcBorders/>
      </w:tcPr>
    </w:tblStylePr>
    <w:tblStylePr w:type="firstRow">
      <w:rPr>
        <w:rFonts w:ascii="Arial" w:hAnsi="Arial"/>
        <w:color w:val="f2f2f2"/>
        <w:sz w:val="22"/>
      </w:rPr>
      <w:pPr>
        <w:pBdr/>
        <w:spacing/>
        <w:ind/>
      </w:pPr>
      <w:tblPr>
        <w:tblBorders/>
      </w:tblPr>
      <w:tcPr>
        <w:shd w:val="clear" w:color="auto" w:fill="d99594"/>
        <w:tcBorders/>
      </w:tcPr>
    </w:tblStylePr>
    <w:tblStylePr w:type="lastCol">
      <w:rPr>
        <w:rFonts w:ascii="Arial" w:hAnsi="Arial"/>
        <w:color w:val="f2f2f2"/>
        <w:sz w:val="22"/>
      </w:rPr>
      <w:pPr>
        <w:pBdr/>
        <w:spacing/>
        <w:ind/>
      </w:pPr>
      <w:tblPr>
        <w:tblBorders/>
      </w:tblPr>
      <w:tcPr>
        <w:shd w:val="clear" w:color="auto" w:fill="d99594"/>
        <w:tcBorders/>
      </w:tcPr>
    </w:tblStylePr>
    <w:tblStylePr w:type="lastRow">
      <w:rPr>
        <w:rFonts w:ascii="Arial" w:hAnsi="Arial"/>
        <w:color w:val="f2f2f2"/>
        <w:sz w:val="22"/>
      </w:rPr>
      <w:pPr>
        <w:pBdr/>
        <w:spacing/>
        <w:ind/>
      </w:pPr>
      <w:tblPr>
        <w:tblBorders/>
      </w:tblPr>
      <w:tcPr>
        <w:shd w:val="clear" w:color="auto" w:fill="d9959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Bordered &amp; Lined - Accent 3"/>
    <w:basedOn w:val="907"/>
    <w:uiPriority w:val="99"/>
    <w:pPr>
      <w:pBdr/>
      <w:spacing w:after="0" w:line="240" w:lineRule="auto"/>
      <w:ind/>
    </w:pPr>
    <w:rPr>
      <w:color w:val="404040"/>
    </w:rPr>
    <w:tblPr>
      <w:tblStyleRowBandSize w:val="1"/>
      <w:tblStyleColBandSize w:val="1"/>
      <w:tblInd w:w="0" w:type="dxa"/>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d"/>
        <w:tcBorders/>
      </w:tcPr>
    </w:tblStylePr>
    <w:tblStylePr w:type="band2Vert">
      <w:rPr>
        <w:rFonts w:ascii="Arial" w:hAnsi="Arial"/>
        <w:color w:val="404040"/>
        <w:sz w:val="22"/>
      </w:rPr>
      <w:pPr>
        <w:pBdr/>
        <w:spacing/>
        <w:ind/>
      </w:pPr>
      <w:tblPr>
        <w:tblBorders/>
      </w:tblPr>
      <w:tcPr>
        <w:shd w:val="clear" w:color="auto" w:fill="eaf1dd"/>
        <w:tcBorders/>
      </w:tcPr>
    </w:tblStylePr>
    <w:tblStylePr w:type="firstCol">
      <w:rPr>
        <w:rFonts w:ascii="Arial" w:hAnsi="Arial"/>
        <w:color w:val="f2f2f2"/>
        <w:sz w:val="22"/>
      </w:rPr>
      <w:pPr>
        <w:pBdr/>
        <w:spacing/>
        <w:ind/>
      </w:pPr>
      <w:tblPr>
        <w:tblBorders/>
      </w:tblPr>
      <w:tcPr>
        <w:shd w:val="clear" w:color="auto" w:fill="9bbb59"/>
        <w:tcBorders/>
      </w:tcPr>
    </w:tblStylePr>
    <w:tblStylePr w:type="firstRow">
      <w:rPr>
        <w:rFonts w:ascii="Arial" w:hAnsi="Arial"/>
        <w:color w:val="f2f2f2"/>
        <w:sz w:val="22"/>
      </w:rPr>
      <w:pPr>
        <w:pBdr/>
        <w:spacing/>
        <w:ind/>
      </w:pPr>
      <w:tblPr>
        <w:tblBorders/>
      </w:tblPr>
      <w:tcPr>
        <w:shd w:val="clear" w:color="auto" w:fill="9bbb59"/>
        <w:tcBorders/>
      </w:tcPr>
    </w:tblStylePr>
    <w:tblStylePr w:type="lastCol">
      <w:rPr>
        <w:rFonts w:ascii="Arial" w:hAnsi="Arial"/>
        <w:color w:val="f2f2f2"/>
        <w:sz w:val="22"/>
      </w:rPr>
      <w:pPr>
        <w:pBdr/>
        <w:spacing/>
        <w:ind/>
      </w:pPr>
      <w:tblPr>
        <w:tblBorders/>
      </w:tblPr>
      <w:tcPr>
        <w:shd w:val="clear" w:color="auto" w:fill="9bbb59"/>
        <w:tcBorders/>
      </w:tcPr>
    </w:tblStylePr>
    <w:tblStylePr w:type="lastRow">
      <w:rPr>
        <w:rFonts w:ascii="Arial" w:hAnsi="Arial"/>
        <w:color w:val="f2f2f2"/>
        <w:sz w:val="22"/>
      </w:rPr>
      <w:pPr>
        <w:pBdr/>
        <w:spacing/>
        <w:ind/>
      </w:pPr>
      <w:tblPr>
        <w:tblBorders/>
      </w:tblPr>
      <w:tcPr>
        <w:shd w:val="clear" w:color="auto" w:fill="9bbb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Bordered &amp; Lined - Accent 4"/>
    <w:basedOn w:val="907"/>
    <w:uiPriority w:val="99"/>
    <w:pPr>
      <w:pBdr/>
      <w:spacing w:after="0" w:line="240" w:lineRule="auto"/>
      <w:ind/>
    </w:pPr>
    <w:rPr>
      <w:color w:val="404040"/>
    </w:rPr>
    <w:tblPr>
      <w:tblStyleRowBandSize w:val="1"/>
      <w:tblStyleColBandSize w:val="1"/>
      <w:tblInd w:w="0" w:type="dxa"/>
      <w:tblBorders>
        <w:top w:val="single" w:color="8064a2" w:sz="4" w:space="0"/>
        <w:left w:val="single" w:color="8064a2" w:sz="4" w:space="0"/>
        <w:bottom w:val="single" w:color="8064a2" w:sz="4" w:space="0"/>
        <w:right w:val="single" w:color="8064a2" w:sz="4" w:space="0"/>
        <w:insideH w:val="single" w:color="8064a2" w:sz="4" w:space="0"/>
        <w:insideV w:val="single" w:color="8064a2"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7"/>
        <w:tcBorders/>
      </w:tcPr>
    </w:tblStylePr>
    <w:tblStylePr w:type="firstRow">
      <w:rPr>
        <w:rFonts w:ascii="Arial" w:hAnsi="Arial"/>
        <w:color w:val="f2f2f2"/>
        <w:sz w:val="22"/>
      </w:rPr>
      <w:pPr>
        <w:pBdr/>
        <w:spacing/>
        <w:ind/>
      </w:pPr>
      <w:tblPr>
        <w:tblBorders/>
      </w:tblPr>
      <w:tcPr>
        <w:shd w:val="clear" w:color="auto" w:fill="b2a1c7"/>
        <w:tcBorders/>
      </w:tcPr>
    </w:tblStylePr>
    <w:tblStylePr w:type="lastCol">
      <w:rPr>
        <w:rFonts w:ascii="Arial" w:hAnsi="Arial"/>
        <w:color w:val="f2f2f2"/>
        <w:sz w:val="22"/>
      </w:rPr>
      <w:pPr>
        <w:pBdr/>
        <w:spacing/>
        <w:ind/>
      </w:pPr>
      <w:tblPr>
        <w:tblBorders/>
      </w:tblPr>
      <w:tcPr>
        <w:shd w:val="clear" w:color="auto" w:fill="b2a1c7"/>
        <w:tcBorders/>
      </w:tcPr>
    </w:tblStylePr>
    <w:tblStylePr w:type="lastRow">
      <w:rPr>
        <w:rFonts w:ascii="Arial" w:hAnsi="Arial"/>
        <w:color w:val="f2f2f2"/>
        <w:sz w:val="22"/>
      </w:rPr>
      <w:pPr>
        <w:pBdr/>
        <w:spacing/>
        <w:ind/>
      </w:pPr>
      <w:tblPr>
        <w:tblBorders/>
      </w:tblPr>
      <w:tcPr>
        <w:shd w:val="clear" w:color="auto" w:fill="b2a1c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Bordered &amp; Lined - Accent 5"/>
    <w:basedOn w:val="907"/>
    <w:uiPriority w:val="99"/>
    <w:pPr>
      <w:pBdr/>
      <w:spacing w:after="0" w:line="240" w:lineRule="auto"/>
      <w:ind/>
    </w:pPr>
    <w:rPr>
      <w:color w:val="404040"/>
    </w:rPr>
    <w:tblPr>
      <w:tblStyleRowBandSize w:val="1"/>
      <w:tblStyleColBandSize w:val="1"/>
      <w:tblInd w:w="0" w:type="dxa"/>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Bordered &amp; Lined - Accent 6"/>
    <w:basedOn w:val="907"/>
    <w:uiPriority w:val="99"/>
    <w:pPr>
      <w:pBdr/>
      <w:spacing w:after="0" w:line="240" w:lineRule="auto"/>
      <w:ind/>
    </w:pPr>
    <w:rPr>
      <w:color w:val="404040"/>
    </w:rPr>
    <w:tblPr>
      <w:tblStyleRowBandSize w:val="1"/>
      <w:tblStyleColBandSize w:val="1"/>
      <w:tblInd w:w="0" w:type="dxa"/>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9"/>
        <w:tcBorders/>
      </w:tcPr>
    </w:tblStylePr>
    <w:tblStylePr w:type="band2Vert">
      <w:rPr>
        <w:rFonts w:ascii="Arial" w:hAnsi="Arial"/>
        <w:color w:val="404040"/>
        <w:sz w:val="22"/>
      </w:rPr>
      <w:pPr>
        <w:pBdr/>
        <w:spacing/>
        <w:ind/>
      </w:pPr>
      <w:tblPr>
        <w:tblBorders/>
      </w:tblPr>
      <w:tcPr>
        <w:shd w:val="clear" w:color="auto" w:fill="fde9d9"/>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91">
    <w:name w:val="Hyperlink"/>
    <w:uiPriority w:val="99"/>
    <w:unhideWhenUsed/>
    <w:pPr>
      <w:pBdr/>
      <w:spacing/>
      <w:ind/>
    </w:pPr>
    <w:rPr>
      <w:color w:val="0000ff" w:themeColor="hyperlink"/>
      <w:u w:val="single"/>
    </w:rPr>
  </w:style>
  <w:style w:type="paragraph" w:styleId="892">
    <w:name w:val="footnote text"/>
    <w:basedOn w:val="905"/>
    <w:link w:val="893"/>
    <w:uiPriority w:val="99"/>
    <w:semiHidden/>
    <w:unhideWhenUsed/>
    <w:pPr>
      <w:pBdr/>
      <w:spacing w:after="40" w:line="240" w:lineRule="auto"/>
      <w:ind/>
    </w:pPr>
    <w:rPr>
      <w:sz w:val="18"/>
    </w:rPr>
  </w:style>
  <w:style w:type="character" w:styleId="893">
    <w:name w:val="Footnote Text Char"/>
    <w:link w:val="892"/>
    <w:uiPriority w:val="99"/>
    <w:pPr>
      <w:pBdr/>
      <w:spacing/>
      <w:ind/>
    </w:pPr>
    <w:rPr>
      <w:sz w:val="18"/>
    </w:rPr>
  </w:style>
  <w:style w:type="character" w:styleId="894">
    <w:name w:val="footnote reference"/>
    <w:basedOn w:val="906"/>
    <w:uiPriority w:val="99"/>
    <w:unhideWhenUsed/>
    <w:pPr>
      <w:pBdr/>
      <w:spacing/>
      <w:ind/>
    </w:pPr>
    <w:rPr>
      <w:vertAlign w:val="superscript"/>
    </w:rPr>
  </w:style>
  <w:style w:type="paragraph" w:styleId="895">
    <w:name w:val="toc 1"/>
    <w:basedOn w:val="905"/>
    <w:next w:val="905"/>
    <w:uiPriority w:val="39"/>
    <w:unhideWhenUsed/>
    <w:pPr>
      <w:pBdr/>
      <w:spacing w:after="57"/>
      <w:ind w:right="0" w:firstLine="0" w:left="0"/>
    </w:pPr>
  </w:style>
  <w:style w:type="paragraph" w:styleId="896">
    <w:name w:val="toc 2"/>
    <w:basedOn w:val="905"/>
    <w:next w:val="905"/>
    <w:uiPriority w:val="39"/>
    <w:unhideWhenUsed/>
    <w:pPr>
      <w:pBdr/>
      <w:spacing w:after="57"/>
      <w:ind w:right="0" w:firstLine="0" w:left="283"/>
    </w:pPr>
  </w:style>
  <w:style w:type="paragraph" w:styleId="897">
    <w:name w:val="toc 3"/>
    <w:basedOn w:val="905"/>
    <w:next w:val="905"/>
    <w:uiPriority w:val="39"/>
    <w:unhideWhenUsed/>
    <w:pPr>
      <w:pBdr/>
      <w:spacing w:after="57"/>
      <w:ind w:right="0" w:firstLine="0" w:left="567"/>
    </w:pPr>
  </w:style>
  <w:style w:type="paragraph" w:styleId="898">
    <w:name w:val="toc 4"/>
    <w:basedOn w:val="905"/>
    <w:next w:val="905"/>
    <w:uiPriority w:val="39"/>
    <w:unhideWhenUsed/>
    <w:pPr>
      <w:pBdr/>
      <w:spacing w:after="57"/>
      <w:ind w:right="0" w:firstLine="0" w:left="850"/>
    </w:pPr>
  </w:style>
  <w:style w:type="paragraph" w:styleId="899">
    <w:name w:val="toc 5"/>
    <w:basedOn w:val="905"/>
    <w:next w:val="905"/>
    <w:uiPriority w:val="39"/>
    <w:unhideWhenUsed/>
    <w:pPr>
      <w:pBdr/>
      <w:spacing w:after="57"/>
      <w:ind w:right="0" w:firstLine="0" w:left="1134"/>
    </w:pPr>
  </w:style>
  <w:style w:type="paragraph" w:styleId="900">
    <w:name w:val="toc 6"/>
    <w:basedOn w:val="905"/>
    <w:next w:val="905"/>
    <w:uiPriority w:val="39"/>
    <w:unhideWhenUsed/>
    <w:pPr>
      <w:pBdr/>
      <w:spacing w:after="57"/>
      <w:ind w:right="0" w:firstLine="0" w:left="1417"/>
    </w:pPr>
  </w:style>
  <w:style w:type="paragraph" w:styleId="901">
    <w:name w:val="toc 7"/>
    <w:basedOn w:val="905"/>
    <w:next w:val="905"/>
    <w:uiPriority w:val="39"/>
    <w:unhideWhenUsed/>
    <w:pPr>
      <w:pBdr/>
      <w:spacing w:after="57"/>
      <w:ind w:right="0" w:firstLine="0" w:left="1701"/>
    </w:pPr>
  </w:style>
  <w:style w:type="paragraph" w:styleId="902">
    <w:name w:val="toc 8"/>
    <w:basedOn w:val="905"/>
    <w:next w:val="905"/>
    <w:uiPriority w:val="39"/>
    <w:unhideWhenUsed/>
    <w:pPr>
      <w:pBdr/>
      <w:spacing w:after="57"/>
      <w:ind w:right="0" w:firstLine="0" w:left="1984"/>
    </w:pPr>
  </w:style>
  <w:style w:type="paragraph" w:styleId="903">
    <w:name w:val="toc 9"/>
    <w:basedOn w:val="905"/>
    <w:next w:val="905"/>
    <w:uiPriority w:val="39"/>
    <w:unhideWhenUsed/>
    <w:pPr>
      <w:pBdr/>
      <w:spacing w:after="57"/>
      <w:ind w:right="0" w:firstLine="0" w:left="2268"/>
    </w:pPr>
  </w:style>
  <w:style w:type="paragraph" w:styleId="904">
    <w:name w:val="TOC Heading"/>
    <w:uiPriority w:val="39"/>
    <w:unhideWhenUsed/>
    <w:pPr>
      <w:pBdr/>
      <w:spacing/>
      <w:ind/>
    </w:pPr>
  </w:style>
  <w:style w:type="paragraph" w:styleId="905" w:default="1">
    <w:name w:val="Normal"/>
    <w:qFormat/>
    <w:pPr>
      <w:pBdr>
        <w:top w:val="none" w:color="000000" w:sz="4" w:space="0"/>
        <w:left w:val="none" w:color="000000" w:sz="4" w:space="0"/>
        <w:bottom w:val="none" w:color="000000" w:sz="4" w:space="0"/>
        <w:right w:val="none" w:color="000000" w:sz="4" w:space="0"/>
      </w:pBdr>
      <w:tabs>
        <w:tab w:val="left" w:leader="none" w:pos="1134"/>
      </w:tabs>
      <w:spacing w:after="0" w:before="0" w:line="240" w:lineRule="auto"/>
      <w:ind w:right="0" w:firstLine="567" w:left="0"/>
      <w:jc w:val="both"/>
    </w:pPr>
    <w:rPr>
      <w:rFonts w:ascii="Times New Roman" w:hAnsi="Times New Roman" w:eastAsia="Times New Roman" w:cs="Times New Roman"/>
      <w:sz w:val="28"/>
    </w:rPr>
  </w:style>
  <w:style w:type="character" w:styleId="906" w:default="1">
    <w:name w:val="Default Paragraph Font"/>
    <w:uiPriority w:val="1"/>
    <w:semiHidden/>
    <w:unhideWhenUsed/>
    <w:pPr>
      <w:pBdr/>
      <w:spacing/>
      <w:ind/>
    </w:pPr>
  </w:style>
  <w:style w:type="table" w:styleId="90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08"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Ємець Тетяна Олександрівна</cp:lastModifiedBy>
  <cp:revision>16</cp:revision>
  <dcterms:modified xsi:type="dcterms:W3CDTF">2026-01-16T09:07:09Z</dcterms:modified>
</cp:coreProperties>
</file>