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378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before="0"/>
        <w:ind w:right="5528" w:firstLine="0" w:left="0"/>
        <w:rPr>
          <w:rFonts w:ascii="Times New Roman" w:hAnsi="Times New Roman" w:cs="Times New Roman"/>
          <w:b/>
          <w:bCs/>
          <w:i w:val="0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</w:rPr>
        <w:t xml:space="preserve">Про затвердження норм списання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</w:rPr>
        <w:t xml:space="preserve">ПММ для генератор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</w:rPr>
        <w:t xml:space="preserve">а</w:t>
      </w:r>
      <w:r>
        <w:rPr>
          <w:rFonts w:ascii="Times New Roman" w:hAnsi="Times New Roman" w:cs="Times New Roman"/>
          <w:b/>
          <w:bCs/>
          <w:i w:val="0"/>
          <w:color w:val="000000" w:themeColor="text1"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right="0" w:firstLine="0" w:left="0"/>
        <w:rPr>
          <w:rFonts w:ascii="Times New Roman" w:hAnsi="Times New Roman" w:cs="Times New Roman"/>
          <w:b/>
          <w:bCs w:val="0"/>
          <w:i w:val="0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444444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444444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визначення норм списання паливно-мастильних матеріалів для ручного робочого бензоінструмента,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II ДСТУ Б Д.2.7.—1:2012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    28.12.2012 р. № 668</w:t>
      </w:r>
      <w:r>
        <w:rPr>
          <w:rFonts w:ascii="Times New Roman" w:hAnsi="Times New Roman" w:eastAsia="Times New Roman" w:cs="Times New Roman"/>
          <w:b/>
          <w:color w:val="444444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Затвердити норми витрат пально-мастильних матеріалів на роботу генератора газ/бензин 220-380В 11/12кВт, двоциліндровий, 4-х тактний, з виведенням під АВР  (інв.номер 101400321):</w:t>
      </w:r>
      <w:r>
        <w:rPr>
          <w:b w:val="0"/>
          <w:bCs w:val="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палива — 3,6 л/год;</w:t>
      </w:r>
      <w:r>
        <w:rPr>
          <w:b w:val="0"/>
          <w:bCs w:val="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мастила — 10W40, заміна мастила — 3,2 л після 25 год роботи під час введення в експлуатацію, далі — що 100 год роботи.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Матеріально відповідальній особі — завідувачу господарством Менської міської ради Станіславу ЧЕПУРНОМУ: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Контролювати використання генератора відповідно до інструкції з експлуатації.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 Вести Журнал обліку часу роботи генератора.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2.3.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Списувати пально-мастильні матеріали згідно зі встановленими нормами, затвердженими пунктом 1 цього наказу.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2.4.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 Контроль за виконанням даного розпорядження покласти на заступника міського голови з питань діяльності виконавчих органів ради С.М.Гаєвого.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 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</w:rPr>
        <w:t xml:space="preserve"> 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</w:rPr>
        <w:t xml:space="preserve"> 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6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8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0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2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4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6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8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0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2025-12-30T13:45:02Z</dcterms:modified>
</cp:coreProperties>
</file>