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/>
      <w:r/>
    </w:p>
    <w:p>
      <w:pPr>
        <w:pBdr/>
        <w:spacing/>
        <w:ind/>
        <w:rPr>
          <w:sz w:val="28"/>
          <w:szCs w:val="28"/>
        </w:rPr>
      </w:pPr>
      <w:r>
        <w:t xml:space="preserve">                                                                                                                 </w:t>
      </w:r>
      <w:r>
        <w:t xml:space="preserve"> </w:t>
      </w:r>
      <w:r>
        <w:rPr>
          <w:sz w:val="28"/>
          <w:szCs w:val="28"/>
        </w:rPr>
        <w:t xml:space="preserve">Додаток</w:t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до розпорядження міського </w:t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голови</w:t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                       19</w:t>
      </w:r>
      <w:r>
        <w:rPr>
          <w:sz w:val="28"/>
          <w:szCs w:val="28"/>
        </w:rPr>
        <w:t xml:space="preserve"> грудня 2025 року № 361</w:t>
      </w:r>
      <w:r>
        <w:rPr>
          <w:sz w:val="28"/>
          <w:szCs w:val="28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П</w:t>
      </w:r>
      <w:r>
        <w:rPr>
          <w:b/>
          <w:bCs/>
          <w:iCs/>
          <w:sz w:val="28"/>
          <w:szCs w:val="28"/>
        </w:rPr>
        <w:t xml:space="preserve">лан роботи з військового обліку призовників, військовозобов’язаних та резервістів в населених пунктах </w:t>
      </w:r>
      <w:r>
        <w:rPr>
          <w:b/>
          <w:bCs/>
          <w:iCs/>
          <w:sz w:val="28"/>
          <w:szCs w:val="28"/>
        </w:rPr>
      </w:r>
    </w:p>
    <w:p>
      <w:pPr>
        <w:pBdr/>
        <w:spacing/>
        <w:ind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Менської місько</w:t>
      </w:r>
      <w:r>
        <w:rPr>
          <w:b/>
          <w:bCs/>
          <w:iCs/>
          <w:sz w:val="28"/>
          <w:szCs w:val="28"/>
        </w:rPr>
        <w:t xml:space="preserve">ї територіальної громади на 2026</w:t>
      </w:r>
      <w:r>
        <w:rPr>
          <w:b/>
          <w:bCs/>
          <w:iCs/>
          <w:sz w:val="28"/>
          <w:szCs w:val="28"/>
        </w:rPr>
        <w:t xml:space="preserve"> рік</w:t>
      </w:r>
      <w:r>
        <w:rPr>
          <w:b/>
          <w:bCs/>
          <w:iCs/>
          <w:sz w:val="28"/>
          <w:szCs w:val="28"/>
        </w:rPr>
      </w:r>
    </w:p>
    <w:p>
      <w:pPr>
        <w:pBdr/>
        <w:spacing/>
        <w:ind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</w:r>
      <w:r>
        <w:rPr>
          <w:b/>
          <w:bCs/>
          <w:iCs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899"/>
        <w:gridCol w:w="1863"/>
        <w:gridCol w:w="1964"/>
        <w:gridCol w:w="1411"/>
      </w:tblGrid>
      <w:tr>
        <w:trPr/>
        <w:tc>
          <w:tcPr>
            <w:tcBorders/>
            <w:tcW w:w="4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№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з/р</w:t>
            </w:r>
            <w:r/>
          </w:p>
        </w:tc>
        <w:tc>
          <w:tcPr>
            <w:tcBorders/>
            <w:tcW w:w="389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Найменування заходів</w:t>
            </w:r>
            <w:r/>
          </w:p>
        </w:tc>
        <w:tc>
          <w:tcPr>
            <w:tcBorders/>
            <w:tcW w:w="18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Термін виконання</w:t>
            </w:r>
            <w:r/>
          </w:p>
        </w:tc>
        <w:tc>
          <w:tcPr>
            <w:tcBorders/>
            <w:tcW w:w="19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Хто проводить</w:t>
            </w:r>
            <w:r/>
          </w:p>
        </w:tc>
        <w:tc>
          <w:tcPr>
            <w:tcBorders/>
            <w:tcW w:w="1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Відмітка про виконання</w:t>
            </w:r>
            <w:r/>
          </w:p>
        </w:tc>
      </w:tr>
      <w:tr>
        <w:trPr/>
        <w:tc>
          <w:tcPr>
            <w:tcBorders/>
            <w:tcW w:w="4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89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Взаємодія з Першим відділом  </w:t>
            </w:r>
            <w:r>
              <w:rPr>
                <w:sz w:val="24"/>
                <w:szCs w:val="24"/>
                <w:lang w:eastAsia="uk-UA"/>
              </w:rPr>
              <w:t xml:space="preserve">Корюківського</w:t>
            </w:r>
            <w:r>
              <w:rPr>
                <w:sz w:val="24"/>
                <w:szCs w:val="24"/>
                <w:lang w:eastAsia="uk-UA"/>
              </w:rPr>
              <w:t xml:space="preserve"> РТЦК та СП щодо здійснення спільн</w:t>
            </w:r>
            <w:r>
              <w:rPr>
                <w:sz w:val="24"/>
                <w:szCs w:val="24"/>
                <w:lang w:eastAsia="uk-UA"/>
              </w:rPr>
              <w:t xml:space="preserve">их заходів в галузі оборонної роботи, строків та способів звіряння даних карток первинного обліку призовників, військовозобов’язаних та резервістів, внесення відповідних змін до них, а також щодо оповіщення призовників, військовозобов’язаних та резервістів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8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Протягом 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</w:t>
            </w:r>
            <w:r>
              <w:rPr>
                <w:sz w:val="24"/>
                <w:szCs w:val="24"/>
              </w:rPr>
              <w:t xml:space="preserve"> року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9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Заступник міського голови з питань діяльності виконавчих органів ради відповідно до функціональних обов’язків, посадові особи міської ради, старости відповідних </w:t>
            </w:r>
            <w:r>
              <w:rPr>
                <w:sz w:val="24"/>
                <w:szCs w:val="24"/>
              </w:rPr>
              <w:t xml:space="preserve">старостинських</w:t>
            </w:r>
            <w:r>
              <w:rPr>
                <w:sz w:val="24"/>
                <w:szCs w:val="24"/>
              </w:rPr>
              <w:t xml:space="preserve"> округів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89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Взяття на персонально-первинний військовий облік громадян, які прибули на нове місце проживання до відповідного </w:t>
            </w:r>
            <w:r>
              <w:rPr>
                <w:sz w:val="24"/>
                <w:szCs w:val="24"/>
                <w:lang w:eastAsia="uk-UA"/>
              </w:rPr>
              <w:t xml:space="preserve">старостинського</w:t>
            </w:r>
            <w:r>
              <w:rPr>
                <w:sz w:val="24"/>
                <w:szCs w:val="24"/>
                <w:lang w:eastAsia="uk-UA"/>
              </w:rPr>
              <w:t xml:space="preserve"> округу 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8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потребі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9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Старости відповідних </w:t>
            </w:r>
            <w:r>
              <w:rPr>
                <w:sz w:val="24"/>
                <w:szCs w:val="24"/>
              </w:rPr>
              <w:t xml:space="preserve">старостинських</w:t>
            </w:r>
            <w:r>
              <w:rPr>
                <w:sz w:val="24"/>
                <w:szCs w:val="24"/>
              </w:rPr>
              <w:t xml:space="preserve"> округів, відповідальні за ведення військового обліку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89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Виключення з персонально-первинного військового обліку громадян під час їх вибуття в іншу адміністративно-територіальну одиницю до нового місця проживання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8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потребі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9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Старости відповідних </w:t>
            </w:r>
            <w:r>
              <w:rPr>
                <w:sz w:val="24"/>
                <w:szCs w:val="24"/>
              </w:rPr>
              <w:t xml:space="preserve">старостинських</w:t>
            </w:r>
            <w:r>
              <w:rPr>
                <w:sz w:val="24"/>
                <w:szCs w:val="24"/>
              </w:rPr>
              <w:t xml:space="preserve"> округів, відповідальні за ведення військового обліку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89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Виявлення призовників, військовозобов’язаних та резервістів, які проживають на території відповідного </w:t>
            </w:r>
            <w:r>
              <w:rPr>
                <w:sz w:val="24"/>
                <w:szCs w:val="24"/>
                <w:lang w:eastAsia="uk-UA"/>
              </w:rPr>
              <w:t xml:space="preserve">старостинського</w:t>
            </w:r>
            <w:r>
              <w:rPr>
                <w:sz w:val="24"/>
                <w:szCs w:val="24"/>
                <w:lang w:eastAsia="uk-UA"/>
              </w:rPr>
              <w:t xml:space="preserve"> округу, і не перебувають в них на персонально-первинному військовому обліку, направлення таких громадян до </w:t>
            </w:r>
            <w:r>
              <w:rPr>
                <w:sz w:val="24"/>
                <w:szCs w:val="24"/>
                <w:lang w:eastAsia="uk-UA"/>
              </w:rPr>
              <w:t xml:space="preserve">Першого відділу </w:t>
            </w:r>
            <w:r>
              <w:rPr>
                <w:sz w:val="24"/>
                <w:szCs w:val="24"/>
                <w:lang w:eastAsia="uk-UA"/>
              </w:rPr>
              <w:t xml:space="preserve">Корюківського</w:t>
            </w:r>
            <w:r>
              <w:rPr>
                <w:sz w:val="24"/>
                <w:szCs w:val="24"/>
                <w:lang w:eastAsia="uk-UA"/>
              </w:rPr>
              <w:t xml:space="preserve"> РТЦК та СП для взяття на військовий облік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8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Протягом           2026</w:t>
            </w:r>
            <w:r>
              <w:rPr>
                <w:sz w:val="24"/>
                <w:szCs w:val="24"/>
              </w:rPr>
              <w:t xml:space="preserve"> року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9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Старости відповідних </w:t>
            </w:r>
            <w:r>
              <w:rPr>
                <w:sz w:val="24"/>
                <w:szCs w:val="24"/>
              </w:rPr>
              <w:t xml:space="preserve">старостинських</w:t>
            </w:r>
            <w:r>
              <w:rPr>
                <w:sz w:val="24"/>
                <w:szCs w:val="24"/>
              </w:rPr>
              <w:t xml:space="preserve"> округів, відповідальні за ведення військового обліку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89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Ведення </w:t>
            </w:r>
            <w:hyperlink r:id="rId13" w:tooltip="https://zakon.rada.gov.ua/laws/show/1487-2022-%D0%BF#n378" w:anchor="n378" w:history="1">
              <w:r>
                <w:rPr>
                  <w:sz w:val="24"/>
                  <w:szCs w:val="24"/>
                  <w:lang w:eastAsia="uk-UA"/>
                </w:rPr>
                <w:t xml:space="preserve">карток первинного обліку призовників, військовозобов’язаних та резервістів</w:t>
              </w:r>
            </w:hyperlink>
            <w:r>
              <w:rPr>
                <w:sz w:val="24"/>
                <w:szCs w:val="24"/>
                <w:lang w:eastAsia="uk-UA"/>
              </w:rPr>
              <w:t xml:space="preserve">, які проживають на території </w:t>
            </w:r>
            <w:r>
              <w:rPr>
                <w:sz w:val="24"/>
                <w:szCs w:val="24"/>
                <w:lang w:eastAsia="uk-UA"/>
              </w:rPr>
              <w:t xml:space="preserve">старостинського</w:t>
            </w:r>
            <w:r>
              <w:rPr>
                <w:sz w:val="24"/>
                <w:szCs w:val="24"/>
                <w:lang w:eastAsia="uk-UA"/>
              </w:rPr>
              <w:t xml:space="preserve"> округу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8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Протягом           2026</w:t>
            </w:r>
            <w:r>
              <w:rPr>
                <w:sz w:val="24"/>
                <w:szCs w:val="24"/>
              </w:rPr>
              <w:t xml:space="preserve"> року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9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Старости відповідних </w:t>
            </w:r>
            <w:r>
              <w:rPr>
                <w:sz w:val="24"/>
                <w:szCs w:val="24"/>
              </w:rPr>
              <w:t xml:space="preserve">старостинських</w:t>
            </w:r>
            <w:r>
              <w:rPr>
                <w:sz w:val="24"/>
                <w:szCs w:val="24"/>
              </w:rPr>
              <w:t xml:space="preserve"> округів, відповідальні за ведення військового обліку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89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Проведення відповідної роз’яснювальної роботи серед призовників, військовозобов’язаних та резервістів щодо виконання ними правил військового обліку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8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Протягом           2026</w:t>
            </w:r>
            <w:r>
              <w:rPr>
                <w:sz w:val="24"/>
                <w:szCs w:val="24"/>
              </w:rPr>
              <w:t xml:space="preserve"> року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9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Старости відповідних </w:t>
            </w:r>
            <w:r>
              <w:rPr>
                <w:sz w:val="24"/>
                <w:szCs w:val="24"/>
              </w:rPr>
              <w:t xml:space="preserve">старостинських</w:t>
            </w:r>
            <w:r>
              <w:rPr>
                <w:sz w:val="24"/>
                <w:szCs w:val="24"/>
              </w:rPr>
              <w:t xml:space="preserve"> округів, відповідальні за ведення військового обліку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899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Інформування Першого відділу </w:t>
            </w:r>
            <w:r>
              <w:rPr>
                <w:sz w:val="24"/>
                <w:szCs w:val="24"/>
                <w:lang w:eastAsia="uk-UA"/>
              </w:rPr>
              <w:t xml:space="preserve">Корюківського</w:t>
            </w:r>
            <w:r>
              <w:rPr>
                <w:sz w:val="24"/>
                <w:szCs w:val="24"/>
                <w:lang w:eastAsia="uk-UA"/>
              </w:rPr>
              <w:t xml:space="preserve"> РТЦК та СП про призовників, військовозобов’язаних та резервістів, які:</w:t>
            </w:r>
            <w:r>
              <w:rPr>
                <w:sz w:val="24"/>
                <w:szCs w:val="24"/>
                <w:lang w:eastAsia="uk-UA"/>
              </w:rPr>
            </w:r>
          </w:p>
          <w:p>
            <w:pPr>
              <w:pBdr/>
              <w:shd w:val="clear" w:color="auto" w:fill="ffffff"/>
              <w:spacing/>
              <w:ind w:firstLine="450"/>
              <w:jc w:val="both"/>
              <w:rPr>
                <w:sz w:val="24"/>
                <w:szCs w:val="24"/>
                <w:lang w:eastAsia="uk-UA"/>
              </w:rPr>
            </w:pPr>
            <w:r/>
            <w:bookmarkStart w:id="0" w:name="n107"/>
            <w:r/>
            <w:bookmarkEnd w:id="0"/>
            <w:r>
              <w:rPr>
                <w:sz w:val="24"/>
                <w:szCs w:val="24"/>
                <w:lang w:eastAsia="uk-UA"/>
              </w:rPr>
              <w:t xml:space="preserve">- прибули д</w:t>
            </w:r>
            <w:r>
              <w:rPr>
                <w:sz w:val="24"/>
                <w:szCs w:val="24"/>
                <w:lang w:eastAsia="uk-UA"/>
              </w:rPr>
              <w:t xml:space="preserve">ля проживання з адміністративно-територіальних одиниць, що обслуговуються іншими виконавчими органами сільських, селищних, міських рад, без зняття з військового (персонально-первинного військового) обліку за задекларованим/зареєстрованим місцем проживання;</w:t>
            </w:r>
            <w:r>
              <w:rPr>
                <w:sz w:val="24"/>
                <w:szCs w:val="24"/>
                <w:lang w:eastAsia="uk-UA"/>
              </w:rPr>
            </w:r>
          </w:p>
          <w:p>
            <w:pPr>
              <w:pBdr/>
              <w:shd w:val="clear" w:color="auto" w:fill="ffffff"/>
              <w:spacing/>
              <w:ind w:firstLine="4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bookmarkStart w:id="1" w:name="n108"/>
            <w:r/>
            <w:bookmarkEnd w:id="1"/>
            <w:r>
              <w:rPr>
                <w:sz w:val="24"/>
                <w:szCs w:val="24"/>
                <w:lang w:eastAsia="uk-UA"/>
              </w:rPr>
              <w:t xml:space="preserve">вибули до нового місця проживання за межі </w:t>
            </w:r>
            <w:r>
              <w:rPr>
                <w:sz w:val="24"/>
                <w:szCs w:val="24"/>
                <w:lang w:eastAsia="uk-UA"/>
              </w:rPr>
              <w:t xml:space="preserve">старостинського</w:t>
            </w:r>
            <w:r>
              <w:rPr>
                <w:sz w:val="24"/>
                <w:szCs w:val="24"/>
                <w:lang w:eastAsia="uk-UA"/>
              </w:rPr>
              <w:t xml:space="preserve"> округу без зняття з військового (персонально-первинного) обліку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8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У семиденний строк з дня виявлення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9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Старости відповідних </w:t>
            </w:r>
            <w:r>
              <w:rPr>
                <w:sz w:val="24"/>
                <w:szCs w:val="24"/>
              </w:rPr>
              <w:t xml:space="preserve">старостинських</w:t>
            </w:r>
            <w:r>
              <w:rPr>
                <w:sz w:val="24"/>
                <w:szCs w:val="24"/>
              </w:rPr>
              <w:t xml:space="preserve"> округів, відповідальні за ведення військового обліку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89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Оповіщення призовників, військовозобов’язаних та резервістів про їх виклик до Першого відділу </w:t>
            </w:r>
            <w:r>
              <w:rPr>
                <w:sz w:val="24"/>
                <w:szCs w:val="24"/>
                <w:lang w:eastAsia="uk-UA"/>
              </w:rPr>
              <w:t xml:space="preserve">Корюківського</w:t>
            </w:r>
            <w:r>
              <w:rPr>
                <w:sz w:val="24"/>
                <w:szCs w:val="24"/>
                <w:lang w:eastAsia="uk-UA"/>
              </w:rPr>
              <w:t xml:space="preserve"> РТЦК та СП і забезпечення їх своєчасного прибуття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8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На вимогу Першого відділу </w:t>
            </w:r>
            <w:r>
              <w:rPr>
                <w:sz w:val="24"/>
                <w:szCs w:val="24"/>
                <w:lang w:eastAsia="uk-UA"/>
              </w:rPr>
              <w:t xml:space="preserve">Корюківського</w:t>
            </w:r>
            <w:r>
              <w:rPr>
                <w:sz w:val="24"/>
                <w:szCs w:val="24"/>
                <w:lang w:eastAsia="uk-UA"/>
              </w:rPr>
              <w:t xml:space="preserve"> РТЦК та СП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9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Старости відповідних </w:t>
            </w:r>
            <w:r>
              <w:rPr>
                <w:sz w:val="24"/>
                <w:szCs w:val="24"/>
              </w:rPr>
              <w:t xml:space="preserve">старостинських</w:t>
            </w:r>
            <w:r>
              <w:rPr>
                <w:sz w:val="24"/>
                <w:szCs w:val="24"/>
              </w:rPr>
              <w:t xml:space="preserve"> округів, відповідальні за ведення військового обліку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89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Подання до Першого відділу </w:t>
            </w:r>
            <w:r>
              <w:rPr>
                <w:sz w:val="24"/>
                <w:szCs w:val="24"/>
                <w:lang w:eastAsia="uk-UA"/>
              </w:rPr>
              <w:t xml:space="preserve">Корюківського</w:t>
            </w:r>
            <w:r>
              <w:rPr>
                <w:sz w:val="24"/>
                <w:szCs w:val="24"/>
                <w:lang w:eastAsia="uk-UA"/>
              </w:rPr>
              <w:t xml:space="preserve"> РТЦК та СП відомостей щодо призовників, військовозобов’язаних та </w:t>
            </w:r>
            <w:r>
              <w:rPr>
                <w:sz w:val="24"/>
                <w:szCs w:val="24"/>
                <w:lang w:eastAsia="uk-UA"/>
              </w:rPr>
              <w:t xml:space="preserve">резервістів, військовий облік яких вони ведуть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8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На вимогу Першого відділу </w:t>
            </w:r>
            <w:r>
              <w:rPr>
                <w:sz w:val="24"/>
                <w:szCs w:val="24"/>
                <w:lang w:eastAsia="uk-UA"/>
              </w:rPr>
              <w:t xml:space="preserve">Корюківського</w:t>
            </w:r>
            <w:r>
              <w:rPr>
                <w:sz w:val="24"/>
                <w:szCs w:val="24"/>
                <w:lang w:eastAsia="uk-UA"/>
              </w:rPr>
              <w:t xml:space="preserve"> РТЦК та СП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9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Старости відповідних </w:t>
            </w:r>
            <w:r>
              <w:rPr>
                <w:sz w:val="24"/>
                <w:szCs w:val="24"/>
              </w:rPr>
              <w:t xml:space="preserve">старостинських</w:t>
            </w:r>
            <w:r>
              <w:rPr>
                <w:sz w:val="24"/>
                <w:szCs w:val="24"/>
              </w:rPr>
              <w:t xml:space="preserve"> округів, відповідальні за </w:t>
            </w:r>
            <w:r>
              <w:rPr>
                <w:sz w:val="24"/>
                <w:szCs w:val="24"/>
              </w:rPr>
              <w:t xml:space="preserve">ведення військового обліку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89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Внесенн</w:t>
            </w:r>
            <w:r>
              <w:rPr>
                <w:sz w:val="24"/>
                <w:szCs w:val="24"/>
                <w:lang w:eastAsia="uk-UA"/>
              </w:rPr>
              <w:t xml:space="preserve">я змін до карток первинного обліку призовників щодо їх прізвища, власного імені та по батькові (за наявності), реквізитів паспорта громадянина України, адреси задекларованого/зареєстрованого місця проживання, сімейного стану, освіти, місця роботи і посади 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8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У п’ятиденний строк з дня подання відповідних документів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9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Старости відповідних </w:t>
            </w:r>
            <w:r>
              <w:rPr>
                <w:sz w:val="24"/>
                <w:szCs w:val="24"/>
              </w:rPr>
              <w:t xml:space="preserve">старостинських</w:t>
            </w:r>
            <w:r>
              <w:rPr>
                <w:sz w:val="24"/>
                <w:szCs w:val="24"/>
              </w:rPr>
              <w:t xml:space="preserve"> округів, відповідальні за ведення військового обліку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89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Надсилання до Першого відділу </w:t>
            </w:r>
            <w:r>
              <w:rPr>
                <w:sz w:val="24"/>
                <w:szCs w:val="24"/>
                <w:lang w:eastAsia="uk-UA"/>
              </w:rPr>
              <w:t xml:space="preserve">Корюківського</w:t>
            </w:r>
            <w:r>
              <w:rPr>
                <w:sz w:val="24"/>
                <w:szCs w:val="24"/>
                <w:lang w:eastAsia="uk-UA"/>
              </w:rPr>
              <w:t xml:space="preserve"> РТЦК та СП </w:t>
            </w:r>
            <w:hyperlink r:id="rId14" w:tooltip="https://zakon.rada.gov.ua/laws/show/1487-2022-%D0%BF#n380" w:anchor="n380" w:history="1">
              <w:r>
                <w:rPr>
                  <w:sz w:val="24"/>
                  <w:szCs w:val="24"/>
                  <w:lang w:eastAsia="uk-UA"/>
                </w:rPr>
                <w:t xml:space="preserve">повідомлень про зміну облікових даних</w:t>
              </w:r>
            </w:hyperlink>
            <w:r>
              <w:rPr>
                <w:sz w:val="24"/>
                <w:szCs w:val="24"/>
                <w:lang w:eastAsia="uk-UA"/>
              </w:rPr>
              <w:t xml:space="preserve"> </w:t>
            </w:r>
            <w:r>
              <w:rPr>
                <w:sz w:val="24"/>
                <w:szCs w:val="24"/>
                <w:lang w:eastAsia="uk-UA"/>
              </w:rPr>
            </w:r>
          </w:p>
        </w:tc>
        <w:tc>
          <w:tcPr>
            <w:tcBorders/>
            <w:tcW w:w="18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Щомісяця до            5 числа</w:t>
            </w:r>
            <w:r>
              <w:rPr>
                <w:sz w:val="24"/>
                <w:szCs w:val="24"/>
                <w:lang w:eastAsia="uk-UA"/>
              </w:rPr>
            </w:r>
          </w:p>
        </w:tc>
        <w:tc>
          <w:tcPr>
            <w:tcBorders/>
            <w:tcW w:w="19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Старости відповідних </w:t>
            </w:r>
            <w:r>
              <w:rPr>
                <w:sz w:val="24"/>
                <w:szCs w:val="24"/>
              </w:rPr>
              <w:t xml:space="preserve">старостинських</w:t>
            </w:r>
            <w:r>
              <w:rPr>
                <w:sz w:val="24"/>
                <w:szCs w:val="24"/>
              </w:rPr>
              <w:t xml:space="preserve"> округів, відповідальні за ведення військового обліку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899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150"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Звіряння облікових даних карток первинного обліку призовників, військовозобов’язаних та резервістів, які перебувають на персонально-первинному військовому обліку у </w:t>
            </w:r>
            <w:r>
              <w:rPr>
                <w:sz w:val="24"/>
                <w:szCs w:val="24"/>
                <w:lang w:eastAsia="uk-UA"/>
              </w:rPr>
              <w:t xml:space="preserve">старостинському</w:t>
            </w:r>
            <w:r>
              <w:rPr>
                <w:sz w:val="24"/>
                <w:szCs w:val="24"/>
                <w:lang w:eastAsia="uk-UA"/>
              </w:rPr>
              <w:t xml:space="preserve"> окрузі </w:t>
            </w:r>
            <w:bookmarkStart w:id="2" w:name="n114"/>
            <w:r/>
            <w:bookmarkEnd w:id="2"/>
            <w:r>
              <w:rPr>
                <w:sz w:val="24"/>
                <w:szCs w:val="24"/>
                <w:lang w:eastAsia="uk-UA"/>
              </w:rPr>
              <w:t xml:space="preserve">з обліковими даними, що містяться у </w:t>
            </w:r>
            <w:hyperlink r:id="rId15" w:tooltip="https://zakon.rada.gov.ua/laws/show/1487-2022-%D0%BF#n382" w:anchor="n382" w:history="1">
              <w:r>
                <w:rPr>
                  <w:sz w:val="24"/>
                  <w:szCs w:val="24"/>
                  <w:lang w:eastAsia="uk-UA"/>
                </w:rPr>
                <w:t xml:space="preserve">списках персонального військового обліку призовників, військовозобов’язаних та резервістів</w:t>
              </w:r>
            </w:hyperlink>
            <w:r>
              <w:rPr>
                <w:sz w:val="24"/>
                <w:szCs w:val="24"/>
                <w:lang w:eastAsia="uk-UA"/>
              </w:rPr>
              <w:t xml:space="preserve"> підприємств, установ та організацій, в яких вони працюють (навчаються), що перебувають на території </w:t>
            </w:r>
            <w:r>
              <w:rPr>
                <w:sz w:val="24"/>
                <w:szCs w:val="24"/>
                <w:lang w:eastAsia="uk-UA"/>
              </w:rPr>
              <w:t xml:space="preserve">старостинського</w:t>
            </w:r>
            <w:r>
              <w:rPr>
                <w:sz w:val="24"/>
                <w:szCs w:val="24"/>
                <w:lang w:eastAsia="uk-UA"/>
              </w:rPr>
              <w:t xml:space="preserve"> округу; </w:t>
            </w:r>
            <w:bookmarkStart w:id="3" w:name="n115"/>
            <w:r/>
            <w:bookmarkEnd w:id="3"/>
            <w:r>
              <w:rPr>
                <w:sz w:val="24"/>
                <w:szCs w:val="24"/>
                <w:lang w:eastAsia="uk-UA"/>
              </w:rPr>
              <w:t xml:space="preserve">          з документами щодо реєстрації місця проживання фізичних осіб  та </w:t>
            </w:r>
            <w:bookmarkStart w:id="4" w:name="n116"/>
            <w:r/>
            <w:bookmarkEnd w:id="4"/>
            <w:r>
              <w:rPr>
                <w:sz w:val="24"/>
                <w:szCs w:val="24"/>
                <w:lang w:eastAsia="uk-UA"/>
              </w:rPr>
              <w:t xml:space="preserve">з місцем фактичного проживання призовників, військовозобов’язаних та резервістів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863" w:type="dxa"/>
            <w:textDirection w:val="lrTb"/>
            <w:noWrap w:val="false"/>
          </w:tcPr>
          <w:p>
            <w:pPr>
              <w:pBdr/>
              <w:spacing/>
              <w:ind w:right="-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Відповідно до графіка звіряння, затвердженого розпорядженням міського голови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9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Старости відповідних </w:t>
            </w:r>
            <w:r>
              <w:rPr>
                <w:sz w:val="24"/>
                <w:szCs w:val="24"/>
              </w:rPr>
              <w:t xml:space="preserve">старостинських</w:t>
            </w:r>
            <w:r>
              <w:rPr>
                <w:sz w:val="24"/>
                <w:szCs w:val="24"/>
              </w:rPr>
              <w:t xml:space="preserve"> округів, відповідальні за ведення військового обліку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89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Звіряння облікових даних карток первинного обліку призовників, які перебувають на персонально-первинному військовому обліку у </w:t>
            </w:r>
            <w:r>
              <w:rPr>
                <w:sz w:val="24"/>
                <w:szCs w:val="24"/>
                <w:lang w:eastAsia="uk-UA"/>
              </w:rPr>
              <w:t xml:space="preserve">старостинському</w:t>
            </w:r>
            <w:r>
              <w:rPr>
                <w:sz w:val="24"/>
                <w:szCs w:val="24"/>
                <w:lang w:eastAsia="uk-UA"/>
              </w:rPr>
              <w:t xml:space="preserve"> окрузі з обліковими даними Першого відділу </w:t>
            </w:r>
            <w:r>
              <w:rPr>
                <w:sz w:val="24"/>
                <w:szCs w:val="24"/>
                <w:lang w:eastAsia="uk-UA"/>
              </w:rPr>
              <w:t xml:space="preserve">Корюківського</w:t>
            </w:r>
            <w:r>
              <w:rPr>
                <w:sz w:val="24"/>
                <w:szCs w:val="24"/>
                <w:lang w:eastAsia="uk-UA"/>
              </w:rPr>
              <w:t xml:space="preserve"> РТЦК та СП 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863" w:type="dxa"/>
            <w:textDirection w:val="lrTb"/>
            <w:noWrap w:val="false"/>
          </w:tcPr>
          <w:p>
            <w:pPr>
              <w:pBdr/>
              <w:spacing/>
              <w:ind w:right="-81" w:left="-105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Відповідно до графіка звіряння, затвердженого розпорядженням голови </w:t>
            </w:r>
            <w:r>
              <w:rPr>
                <w:sz w:val="24"/>
                <w:szCs w:val="24"/>
                <w:lang w:eastAsia="uk-UA"/>
              </w:rPr>
              <w:t xml:space="preserve">Корюківської</w:t>
            </w:r>
            <w:r>
              <w:rPr>
                <w:sz w:val="24"/>
                <w:szCs w:val="24"/>
                <w:lang w:eastAsia="uk-UA"/>
              </w:rPr>
              <w:t xml:space="preserve"> РДА.</w:t>
            </w:r>
            <w:r>
              <w:rPr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 w:right="-81" w:lef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В інші строки, визначені Першим відділом </w:t>
            </w:r>
            <w:r>
              <w:rPr>
                <w:sz w:val="24"/>
                <w:szCs w:val="24"/>
                <w:lang w:eastAsia="uk-UA"/>
              </w:rPr>
              <w:t xml:space="preserve">Корюківського</w:t>
            </w:r>
            <w:r>
              <w:rPr>
                <w:sz w:val="24"/>
                <w:szCs w:val="24"/>
                <w:lang w:eastAsia="uk-UA"/>
              </w:rPr>
              <w:t xml:space="preserve"> РТЦК та СП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9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Старости відповідних </w:t>
            </w:r>
            <w:r>
              <w:rPr>
                <w:sz w:val="24"/>
                <w:szCs w:val="24"/>
              </w:rPr>
              <w:t xml:space="preserve">старостинських</w:t>
            </w:r>
            <w:r>
              <w:rPr>
                <w:sz w:val="24"/>
                <w:szCs w:val="24"/>
              </w:rPr>
              <w:t xml:space="preserve"> округів, відповідальні за ведення військового обліку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89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Складення і подання до Першого відділу </w:t>
            </w:r>
            <w:r>
              <w:rPr>
                <w:sz w:val="24"/>
                <w:szCs w:val="24"/>
                <w:lang w:eastAsia="uk-UA"/>
              </w:rPr>
              <w:t xml:space="preserve">Корюківського</w:t>
            </w:r>
            <w:r>
              <w:rPr>
                <w:sz w:val="24"/>
                <w:szCs w:val="24"/>
                <w:lang w:eastAsia="uk-UA"/>
              </w:rPr>
              <w:t xml:space="preserve"> РТЦК та СП </w:t>
            </w:r>
            <w:hyperlink r:id="rId16" w:tooltip="https://zakon.rada.gov.ua/laws/show/1487-2022-%D0%BF#n443" w:anchor="n443" w:history="1">
              <w:r>
                <w:rPr>
                  <w:sz w:val="24"/>
                  <w:szCs w:val="24"/>
                  <w:lang w:eastAsia="uk-UA"/>
                </w:rPr>
                <w:t xml:space="preserve">списків громадян, які підлягають приписці до призовних дільниць</w:t>
              </w:r>
            </w:hyperlink>
            <w:r/>
            <w:r>
              <w:rPr>
                <w:sz w:val="24"/>
                <w:szCs w:val="24"/>
              </w:rPr>
            </w:r>
          </w:p>
        </w:tc>
        <w:tc>
          <w:tcPr>
            <w:tcBorders/>
            <w:tcW w:w="18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 грудня 2026</w:t>
            </w:r>
            <w:r>
              <w:rPr>
                <w:sz w:val="24"/>
                <w:szCs w:val="24"/>
              </w:rPr>
              <w:t xml:space="preserve"> року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9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Старости відповідних </w:t>
            </w:r>
            <w:r>
              <w:rPr>
                <w:sz w:val="24"/>
                <w:szCs w:val="24"/>
              </w:rPr>
              <w:t xml:space="preserve">старостинських</w:t>
            </w:r>
            <w:r>
              <w:rPr>
                <w:sz w:val="24"/>
                <w:szCs w:val="24"/>
              </w:rPr>
              <w:t xml:space="preserve"> округів, відповідальні за ведення військового обліку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89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Контроль за виконанням посадовими особами підприємств, установ та організацій, які розташовані на території </w:t>
            </w:r>
            <w:r>
              <w:rPr>
                <w:sz w:val="24"/>
                <w:szCs w:val="24"/>
                <w:lang w:eastAsia="uk-UA"/>
              </w:rPr>
              <w:t xml:space="preserve">старостинського</w:t>
            </w:r>
            <w:r>
              <w:rPr>
                <w:sz w:val="24"/>
                <w:szCs w:val="24"/>
                <w:lang w:eastAsia="uk-UA"/>
              </w:rPr>
              <w:t xml:space="preserve"> округу, вимог Порядку 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організації та ведення військового обліку призовників, військовозобов’язаних та резервістів</w:t>
            </w:r>
            <w:r>
              <w:rPr>
                <w:sz w:val="24"/>
                <w:szCs w:val="24"/>
                <w:lang w:eastAsia="uk-UA"/>
              </w:rPr>
              <w:t xml:space="preserve">, а призовниками, військовозобов’язаними та резервістами - правил військового обліку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8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Протягом    2026</w:t>
            </w:r>
            <w:r>
              <w:rPr>
                <w:sz w:val="24"/>
                <w:szCs w:val="24"/>
              </w:rPr>
              <w:t xml:space="preserve"> року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9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Старости відповідних </w:t>
            </w:r>
            <w:r>
              <w:rPr>
                <w:sz w:val="24"/>
                <w:szCs w:val="24"/>
              </w:rPr>
              <w:t xml:space="preserve">старостинських</w:t>
            </w:r>
            <w:r>
              <w:rPr>
                <w:sz w:val="24"/>
                <w:szCs w:val="24"/>
              </w:rPr>
              <w:t xml:space="preserve"> округів, відповідальні за ведення військового обліку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89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Інформування Першого відділу </w:t>
            </w:r>
            <w:r>
              <w:rPr>
                <w:sz w:val="24"/>
                <w:szCs w:val="24"/>
                <w:lang w:eastAsia="uk-UA"/>
              </w:rPr>
              <w:t xml:space="preserve">Корюківського</w:t>
            </w:r>
            <w:r>
              <w:rPr>
                <w:sz w:val="24"/>
                <w:szCs w:val="24"/>
                <w:lang w:eastAsia="uk-UA"/>
              </w:rPr>
              <w:t xml:space="preserve"> РТЦК та СП про посадових осіб підприємств, установ та організацій, які порушують вимоги Порядку 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організації та ведення військового обліку призовників, військовозобов’язаних та резервістів</w:t>
            </w:r>
            <w:r>
              <w:rPr>
                <w:sz w:val="24"/>
                <w:szCs w:val="24"/>
                <w:lang w:eastAsia="uk-UA"/>
              </w:rPr>
              <w:t xml:space="preserve">, а також про громадян, які порушують правила військового обліку 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8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Негайно при виявленні фактів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9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Старости відповідних </w:t>
            </w:r>
            <w:r>
              <w:rPr>
                <w:sz w:val="24"/>
                <w:szCs w:val="24"/>
              </w:rPr>
              <w:t xml:space="preserve">старостинських</w:t>
            </w:r>
            <w:r>
              <w:rPr>
                <w:sz w:val="24"/>
                <w:szCs w:val="24"/>
              </w:rPr>
              <w:t xml:space="preserve"> округів, відповідальні за ведення військового обліку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89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Інформування Першого відділу </w:t>
            </w:r>
            <w:r>
              <w:rPr>
                <w:sz w:val="24"/>
                <w:szCs w:val="24"/>
                <w:lang w:eastAsia="uk-UA"/>
              </w:rPr>
              <w:t xml:space="preserve">Корюківського</w:t>
            </w:r>
            <w:r>
              <w:rPr>
                <w:sz w:val="24"/>
                <w:szCs w:val="24"/>
                <w:lang w:eastAsia="uk-UA"/>
              </w:rPr>
              <w:t xml:space="preserve"> РТЦК та СП про державну реєстрацію утворення, припинення підприємств, установ та організацій, які розташовані на території </w:t>
            </w:r>
            <w:r>
              <w:rPr>
                <w:sz w:val="24"/>
                <w:szCs w:val="24"/>
                <w:lang w:eastAsia="uk-UA"/>
              </w:rPr>
              <w:t xml:space="preserve">старостинського</w:t>
            </w:r>
            <w:r>
              <w:rPr>
                <w:sz w:val="24"/>
                <w:szCs w:val="24"/>
                <w:lang w:eastAsia="uk-UA"/>
              </w:rPr>
              <w:t xml:space="preserve"> округу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8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Щомісяця до             5 числа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9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Старости відповідних </w:t>
            </w:r>
            <w:r>
              <w:rPr>
                <w:sz w:val="24"/>
                <w:szCs w:val="24"/>
              </w:rPr>
              <w:t xml:space="preserve">старостинських</w:t>
            </w:r>
            <w:r>
              <w:rPr>
                <w:sz w:val="24"/>
                <w:szCs w:val="24"/>
              </w:rPr>
              <w:t xml:space="preserve"> округів, відповідальні за ведення військового обліку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89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Ведення та зберігання журналу обліку результатів перевірки стану військового обліку, звіряння їх облікових даних з даними Першого відділу </w:t>
            </w:r>
            <w:r>
              <w:rPr>
                <w:sz w:val="24"/>
                <w:szCs w:val="24"/>
                <w:lang w:eastAsia="uk-UA"/>
              </w:rPr>
              <w:t xml:space="preserve">Корюківського</w:t>
            </w:r>
            <w:r>
              <w:rPr>
                <w:sz w:val="24"/>
                <w:szCs w:val="24"/>
                <w:lang w:eastAsia="uk-UA"/>
              </w:rPr>
              <w:t xml:space="preserve"> РТЦК та СП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8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Протягом              2026</w:t>
            </w:r>
            <w:r>
              <w:rPr>
                <w:sz w:val="24"/>
                <w:szCs w:val="24"/>
              </w:rPr>
              <w:t xml:space="preserve"> року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9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Старости відповідних </w:t>
            </w:r>
            <w:r>
              <w:rPr>
                <w:sz w:val="24"/>
                <w:szCs w:val="24"/>
              </w:rPr>
              <w:t xml:space="preserve">старостинських</w:t>
            </w:r>
            <w:r>
              <w:rPr>
                <w:sz w:val="24"/>
                <w:szCs w:val="24"/>
              </w:rPr>
              <w:t xml:space="preserve"> округів, відповідальні за ведення військового обліку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89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Підготовка </w:t>
            </w:r>
            <w:r>
              <w:rPr>
                <w:sz w:val="24"/>
                <w:szCs w:val="24"/>
              </w:rPr>
              <w:t xml:space="preserve">плану роботи </w:t>
            </w:r>
            <w:r>
              <w:rPr>
                <w:bCs/>
                <w:iCs/>
                <w:sz w:val="24"/>
                <w:szCs w:val="24"/>
              </w:rPr>
              <w:t xml:space="preserve">з військового обліку військово-зобов’язаних, призовників,      </w:t>
            </w:r>
            <w:r>
              <w:rPr>
                <w:bCs/>
                <w:iCs/>
                <w:sz w:val="24"/>
                <w:szCs w:val="24"/>
              </w:rPr>
              <w:t xml:space="preserve">резервістів в населених пунктах Менської міської територіальної громади 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2027</w:t>
            </w:r>
            <w:r>
              <w:rPr>
                <w:sz w:val="24"/>
                <w:szCs w:val="24"/>
              </w:rPr>
              <w:t xml:space="preserve"> рік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8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24 </w:t>
            </w:r>
            <w:r>
              <w:rPr>
                <w:sz w:val="24"/>
                <w:szCs w:val="24"/>
              </w:rPr>
              <w:t xml:space="preserve">грудня              20</w:t>
            </w:r>
            <w:bookmarkStart w:id="5" w:name="_GoBack"/>
            <w:r/>
            <w:bookmarkEnd w:id="5"/>
            <w:r>
              <w:rPr>
                <w:sz w:val="24"/>
                <w:szCs w:val="24"/>
              </w:rPr>
              <w:t xml:space="preserve">26</w:t>
            </w:r>
            <w:r>
              <w:rPr>
                <w:sz w:val="24"/>
                <w:szCs w:val="24"/>
              </w:rPr>
              <w:t xml:space="preserve"> року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9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Заступник міського голови з питань </w:t>
            </w:r>
            <w:r>
              <w:rPr>
                <w:sz w:val="24"/>
                <w:szCs w:val="24"/>
              </w:rPr>
              <w:t xml:space="preserve">діяльності виконавчих органів ради відповідно до функціональних обов’язків. </w:t>
            </w:r>
            <w:r>
              <w:rPr>
                <w:sz w:val="24"/>
                <w:szCs w:val="24"/>
              </w:rPr>
              <w:t xml:space="preserve">Сектор ведення військового обліку міської ради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89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Складання графіків </w:t>
            </w:r>
            <w:r>
              <w:rPr>
                <w:sz w:val="24"/>
                <w:szCs w:val="24"/>
                <w:lang w:eastAsia="uk-UA"/>
              </w:rPr>
              <w:t xml:space="preserve">звіряння облікових даних карток первинного обліку призовників, військовозобов’язаних та резервістів, які перебувають на персонально-первинному військовому обліку у </w:t>
            </w:r>
            <w:r>
              <w:rPr>
                <w:sz w:val="24"/>
                <w:szCs w:val="24"/>
                <w:lang w:eastAsia="uk-UA"/>
              </w:rPr>
              <w:t xml:space="preserve">старостинських</w:t>
            </w:r>
            <w:r>
              <w:rPr>
                <w:sz w:val="24"/>
                <w:szCs w:val="24"/>
                <w:lang w:eastAsia="uk-UA"/>
              </w:rPr>
              <w:t xml:space="preserve"> округах міської ради, з обліковими даними, що містяться у </w:t>
            </w:r>
            <w:hyperlink r:id="rId17" w:tooltip="https://zakon.rada.gov.ua/laws/show/1487-2022-%D0%BF#n382" w:anchor="n382" w:history="1">
              <w:r>
                <w:rPr>
                  <w:sz w:val="24"/>
                  <w:szCs w:val="24"/>
                  <w:lang w:eastAsia="uk-UA"/>
                </w:rPr>
                <w:t xml:space="preserve">списках персонального військового обліку призовників, військовозобов’язаних та резервістів</w:t>
              </w:r>
            </w:hyperlink>
            <w:r>
              <w:rPr>
                <w:sz w:val="24"/>
                <w:szCs w:val="24"/>
                <w:lang w:eastAsia="uk-UA"/>
              </w:rPr>
              <w:t xml:space="preserve"> підприємств, установ та організацій, в яких вони працюють (навчаються), та які перебувають на території відповідного </w:t>
            </w:r>
            <w:r>
              <w:rPr>
                <w:sz w:val="24"/>
                <w:szCs w:val="24"/>
                <w:lang w:eastAsia="uk-UA"/>
              </w:rPr>
              <w:t xml:space="preserve">старостинського</w:t>
            </w:r>
            <w:r>
              <w:rPr>
                <w:sz w:val="24"/>
                <w:szCs w:val="24"/>
                <w:lang w:eastAsia="uk-UA"/>
              </w:rPr>
              <w:t xml:space="preserve"> округу, з місцем фактичного проживання призовників, військовозоб</w:t>
            </w:r>
            <w:r>
              <w:rPr>
                <w:sz w:val="24"/>
                <w:szCs w:val="24"/>
                <w:lang w:eastAsia="uk-UA"/>
              </w:rPr>
              <w:t xml:space="preserve">ов’язаних та резервістів на 2027</w:t>
            </w:r>
            <w:r>
              <w:rPr>
                <w:sz w:val="24"/>
                <w:szCs w:val="24"/>
                <w:lang w:eastAsia="uk-UA"/>
              </w:rPr>
              <w:t xml:space="preserve"> рік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8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25 грудня 2026</w:t>
            </w:r>
            <w:r>
              <w:rPr>
                <w:sz w:val="24"/>
                <w:szCs w:val="24"/>
              </w:rPr>
              <w:t xml:space="preserve"> року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9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Заступник міського голови з питань діяльності виконавчих органів ради відповідно до функціональних обов’язків. </w:t>
            </w:r>
            <w:r>
              <w:rPr>
                <w:sz w:val="24"/>
                <w:szCs w:val="24"/>
              </w:rPr>
              <w:t xml:space="preserve">Сектор ведення військового обліку міської ради 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425"/>
          <w:tab w:val="left" w:leader="none" w:pos="6520"/>
        </w:tabs>
        <w:spacing/>
        <w:ind/>
        <w:jc w:val="both"/>
        <w:rPr>
          <w:sz w:val="28"/>
          <w:lang w:eastAsia="en-US"/>
        </w:rPr>
      </w:pPr>
      <w:r>
        <w:rPr>
          <w:sz w:val="28"/>
        </w:rPr>
        <w:t xml:space="preserve">Завідувач сектору ведення військового обліку </w:t>
      </w:r>
      <w:r>
        <w:rPr>
          <w:sz w:val="28"/>
          <w:lang w:eastAsia="en-US"/>
        </w:rPr>
      </w:r>
    </w:p>
    <w:p>
      <w:pPr>
        <w:pBdr/>
        <w:spacing/>
        <w:ind/>
        <w:rPr>
          <w:rFonts w:eastAsiaTheme="minorHAnsi"/>
          <w:sz w:val="28"/>
          <w:szCs w:val="28"/>
        </w:rPr>
      </w:pPr>
      <w:r>
        <w:rPr>
          <w:sz w:val="28"/>
        </w:rPr>
        <w:t xml:space="preserve">Менської міської ради                                                                      Юлія ЧАБАК                                                                                   </w:t>
      </w:r>
      <w:r>
        <w:rPr>
          <w:rFonts w:eastAsiaTheme="minorHAnsi"/>
          <w:sz w:val="28"/>
          <w:szCs w:val="28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headerReference w:type="first" r:id="rId10"/>
      <w:footerReference w:type="default" r:id="rId11"/>
      <w:footnotePr/>
      <w:endnotePr/>
      <w:type w:val="nextPage"/>
      <w:pgSz w:h="16838" w:orient="portrait" w:w="11906"/>
      <w:pgMar w:top="1134" w:right="567" w:bottom="1134" w:left="1701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3"/>
      <w:pBdr/>
      <w:spacing/>
      <w:ind/>
      <w:jc w:val="right"/>
      <w:rPr/>
    </w:pPr>
    <w:r>
      <w:t xml:space="preserve">                               </w:t>
    </w:r>
    <w:r>
      <w:rPr>
        <w:i/>
      </w:rPr>
      <w:t xml:space="preserve"> </w:t>
    </w:r>
    <w:r>
      <w:rPr>
        <w:i/>
      </w:rPr>
      <w:fldChar w:fldCharType="begin"/>
    </w:r>
    <w:r>
      <w:rPr>
        <w:i/>
      </w:rPr>
      <w:instrText xml:space="preserve">PAGE   \* MERGEFORMAT</w:instrText>
    </w:r>
    <w:r>
      <w:rPr>
        <w:i/>
      </w:rPr>
      <w:fldChar w:fldCharType="separate"/>
    </w:r>
    <w:r>
      <w:rPr>
        <w:i/>
      </w:rPr>
      <w:t xml:space="preserve">5</w:t>
    </w:r>
    <w:r>
      <w:rPr>
        <w:i/>
      </w:rPr>
      <w:fldChar w:fldCharType="end"/>
    </w:r>
    <w:r>
      <w:rPr>
        <w:i/>
      </w:rPr>
      <w:t xml:space="preserve">                                                              продовження додатка</w:t>
    </w:r>
    <w:r/>
  </w:p>
  <w:p>
    <w:pPr>
      <w:pStyle w:val="76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3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8" w:default="1">
    <w:name w:val="Normal"/>
    <w:qFormat/>
    <w:pPr>
      <w:pBdr/>
      <w:spacing/>
      <w:ind/>
    </w:pPr>
    <w:rPr>
      <w:lang w:eastAsia="zh-CN"/>
    </w:rPr>
  </w:style>
  <w:style w:type="paragraph" w:styleId="709">
    <w:name w:val="Heading 1"/>
    <w:link w:val="74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  <w:lang w:eastAsia="zh-CN"/>
    </w:rPr>
  </w:style>
  <w:style w:type="paragraph" w:styleId="710">
    <w:name w:val="Heading 2"/>
    <w:link w:val="74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  <w:lang w:eastAsia="zh-CN"/>
    </w:rPr>
  </w:style>
  <w:style w:type="paragraph" w:styleId="711">
    <w:name w:val="Heading 3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  <w:lang w:eastAsia="zh-CN"/>
    </w:rPr>
  </w:style>
  <w:style w:type="paragraph" w:styleId="712">
    <w:name w:val="Heading 4"/>
    <w:link w:val="74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  <w:lang w:eastAsia="zh-CN"/>
    </w:rPr>
  </w:style>
  <w:style w:type="paragraph" w:styleId="713">
    <w:name w:val="Heading 5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  <w:lang w:eastAsia="zh-CN"/>
    </w:rPr>
  </w:style>
  <w:style w:type="paragraph" w:styleId="714">
    <w:name w:val="Heading 6"/>
    <w:link w:val="74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  <w:lang w:eastAsia="zh-CN"/>
    </w:rPr>
  </w:style>
  <w:style w:type="paragraph" w:styleId="715">
    <w:name w:val="Heading 7"/>
    <w:link w:val="75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  <w:lang w:eastAsia="zh-CN"/>
    </w:rPr>
  </w:style>
  <w:style w:type="paragraph" w:styleId="716">
    <w:name w:val="Heading 8"/>
    <w:link w:val="75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  <w:lang w:eastAsia="zh-CN"/>
    </w:rPr>
  </w:style>
  <w:style w:type="paragraph" w:styleId="717">
    <w:name w:val="Heading 9"/>
    <w:link w:val="75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  <w:lang w:eastAsia="zh-CN"/>
    </w:rPr>
  </w:style>
  <w:style w:type="character" w:styleId="718" w:default="1">
    <w:name w:val="Default Paragraph Font"/>
    <w:uiPriority w:val="1"/>
    <w:semiHidden/>
    <w:unhideWhenUsed/>
    <w:pPr>
      <w:pBdr/>
      <w:spacing/>
      <w:ind/>
    </w:pPr>
  </w:style>
  <w:style w:type="table" w:styleId="71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0" w:default="1">
    <w:name w:val="No List"/>
    <w:uiPriority w:val="99"/>
    <w:semiHidden/>
    <w:unhideWhenUsed/>
    <w:pPr>
      <w:pBdr/>
      <w:spacing/>
      <w:ind/>
    </w:pPr>
  </w:style>
  <w:style w:type="character" w:styleId="721" w:customStyle="1">
    <w:name w:val="Heading 1 Char"/>
    <w:basedOn w:val="71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722" w:customStyle="1">
    <w:name w:val="Heading 2 Char"/>
    <w:basedOn w:val="71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723" w:customStyle="1">
    <w:name w:val="Heading 3 Char"/>
    <w:basedOn w:val="71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724" w:customStyle="1">
    <w:name w:val="Heading 4 Char"/>
    <w:basedOn w:val="718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725" w:customStyle="1">
    <w:name w:val="Heading 5 Char"/>
    <w:basedOn w:val="71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726" w:customStyle="1">
    <w:name w:val="Heading 6 Char"/>
    <w:basedOn w:val="71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27" w:customStyle="1">
    <w:name w:val="Heading 7 Char"/>
    <w:basedOn w:val="71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28" w:customStyle="1">
    <w:name w:val="Heading 8 Char"/>
    <w:basedOn w:val="71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9" w:customStyle="1">
    <w:name w:val="Heading 9 Char"/>
    <w:basedOn w:val="71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0" w:customStyle="1">
    <w:name w:val="Title Char"/>
    <w:basedOn w:val="71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31" w:customStyle="1">
    <w:name w:val="Subtitle Char"/>
    <w:basedOn w:val="71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32" w:customStyle="1">
    <w:name w:val="Quote Char"/>
    <w:basedOn w:val="71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33">
    <w:name w:val="Intense Emphasis"/>
    <w:basedOn w:val="718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34" w:customStyle="1">
    <w:name w:val="Intense Quote Char"/>
    <w:basedOn w:val="718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735">
    <w:name w:val="Intense Reference"/>
    <w:basedOn w:val="718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36">
    <w:name w:val="Subtle Emphasis"/>
    <w:basedOn w:val="71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7">
    <w:name w:val="Emphasis"/>
    <w:basedOn w:val="718"/>
    <w:uiPriority w:val="20"/>
    <w:qFormat/>
    <w:pPr>
      <w:pBdr/>
      <w:spacing/>
      <w:ind/>
    </w:pPr>
    <w:rPr>
      <w:i/>
      <w:iCs/>
    </w:rPr>
  </w:style>
  <w:style w:type="character" w:styleId="738">
    <w:name w:val="Strong"/>
    <w:basedOn w:val="718"/>
    <w:uiPriority w:val="22"/>
    <w:qFormat/>
    <w:pPr>
      <w:pBdr/>
      <w:spacing/>
      <w:ind/>
    </w:pPr>
    <w:rPr>
      <w:b/>
      <w:bCs/>
    </w:rPr>
  </w:style>
  <w:style w:type="character" w:styleId="739">
    <w:name w:val="Subtle Reference"/>
    <w:basedOn w:val="71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0">
    <w:name w:val="Book Title"/>
    <w:basedOn w:val="71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1" w:customStyle="1">
    <w:name w:val="Footnote Text Char"/>
    <w:basedOn w:val="718"/>
    <w:uiPriority w:val="99"/>
    <w:semiHidden/>
    <w:pPr>
      <w:pBdr/>
      <w:spacing/>
      <w:ind/>
    </w:pPr>
    <w:rPr>
      <w:sz w:val="20"/>
      <w:szCs w:val="20"/>
    </w:rPr>
  </w:style>
  <w:style w:type="character" w:styleId="742" w:customStyle="1">
    <w:name w:val="Endnote Text Char"/>
    <w:basedOn w:val="718"/>
    <w:uiPriority w:val="99"/>
    <w:semiHidden/>
    <w:pPr>
      <w:pBdr/>
      <w:spacing/>
      <w:ind/>
    </w:pPr>
    <w:rPr>
      <w:sz w:val="20"/>
      <w:szCs w:val="20"/>
    </w:rPr>
  </w:style>
  <w:style w:type="character" w:styleId="743">
    <w:name w:val="FollowedHyperlink"/>
    <w:basedOn w:val="718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44" w:customStyle="1">
    <w:name w:val="Заголовок 1 Знак"/>
    <w:link w:val="70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5" w:customStyle="1">
    <w:name w:val="Заголовок 2 Знак"/>
    <w:link w:val="71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46" w:customStyle="1">
    <w:name w:val="Заголовок 3 Знак"/>
    <w:link w:val="7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47" w:customStyle="1">
    <w:name w:val="Заголовок 4 Знак"/>
    <w:link w:val="71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48" w:customStyle="1">
    <w:name w:val="Заголовок 5 Знак"/>
    <w:link w:val="71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49" w:customStyle="1">
    <w:name w:val="Заголовок 6 Знак"/>
    <w:link w:val="71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0" w:customStyle="1">
    <w:name w:val="Заголовок 7 Знак"/>
    <w:link w:val="71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1" w:customStyle="1">
    <w:name w:val="Заголовок 8 Знак"/>
    <w:link w:val="71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2" w:customStyle="1">
    <w:name w:val="Заголовок 9 Знак"/>
    <w:link w:val="71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3">
    <w:name w:val="List Paragraph"/>
    <w:uiPriority w:val="34"/>
    <w:qFormat/>
    <w:pPr>
      <w:pBdr/>
      <w:spacing/>
      <w:ind w:left="720"/>
      <w:contextualSpacing w:val="true"/>
    </w:pPr>
    <w:rPr>
      <w:lang w:eastAsia="zh-CN"/>
    </w:rPr>
  </w:style>
  <w:style w:type="paragraph" w:styleId="754">
    <w:name w:val="No Spacing"/>
    <w:uiPriority w:val="1"/>
    <w:qFormat/>
    <w:pPr>
      <w:pBdr/>
      <w:spacing/>
      <w:ind/>
    </w:pPr>
    <w:rPr>
      <w:lang w:eastAsia="zh-CN"/>
    </w:rPr>
  </w:style>
  <w:style w:type="paragraph" w:styleId="755">
    <w:name w:val="Title"/>
    <w:link w:val="756"/>
    <w:uiPriority w:val="10"/>
    <w:qFormat/>
    <w:pPr>
      <w:pBdr/>
      <w:spacing w:after="200" w:before="300"/>
      <w:ind/>
      <w:contextualSpacing w:val="true"/>
    </w:pPr>
    <w:rPr>
      <w:sz w:val="48"/>
      <w:szCs w:val="48"/>
      <w:lang w:eastAsia="zh-CN"/>
    </w:rPr>
  </w:style>
  <w:style w:type="character" w:styleId="756" w:customStyle="1">
    <w:name w:val="Назва Знак"/>
    <w:link w:val="755"/>
    <w:uiPriority w:val="10"/>
    <w:pPr>
      <w:pBdr/>
      <w:spacing/>
      <w:ind/>
    </w:pPr>
    <w:rPr>
      <w:sz w:val="48"/>
      <w:szCs w:val="48"/>
    </w:rPr>
  </w:style>
  <w:style w:type="paragraph" w:styleId="757">
    <w:name w:val="Subtitle"/>
    <w:link w:val="758"/>
    <w:uiPriority w:val="11"/>
    <w:qFormat/>
    <w:pPr>
      <w:pBdr/>
      <w:spacing w:after="200" w:before="200"/>
      <w:ind/>
    </w:pPr>
    <w:rPr>
      <w:sz w:val="24"/>
      <w:szCs w:val="24"/>
      <w:lang w:eastAsia="zh-CN"/>
    </w:rPr>
  </w:style>
  <w:style w:type="character" w:styleId="758" w:customStyle="1">
    <w:name w:val="Підзаголовок Знак"/>
    <w:link w:val="757"/>
    <w:uiPriority w:val="11"/>
    <w:pPr>
      <w:pBdr/>
      <w:spacing/>
      <w:ind/>
    </w:pPr>
    <w:rPr>
      <w:sz w:val="24"/>
      <w:szCs w:val="24"/>
    </w:rPr>
  </w:style>
  <w:style w:type="paragraph" w:styleId="759">
    <w:name w:val="Quote"/>
    <w:link w:val="760"/>
    <w:uiPriority w:val="29"/>
    <w:qFormat/>
    <w:pPr>
      <w:pBdr/>
      <w:spacing/>
      <w:ind w:right="720" w:left="720"/>
    </w:pPr>
    <w:rPr>
      <w:i/>
      <w:lang w:eastAsia="zh-CN"/>
    </w:rPr>
  </w:style>
  <w:style w:type="character" w:styleId="760" w:customStyle="1">
    <w:name w:val="Цитата Знак"/>
    <w:link w:val="759"/>
    <w:uiPriority w:val="29"/>
    <w:pPr>
      <w:pBdr/>
      <w:spacing/>
      <w:ind/>
    </w:pPr>
    <w:rPr>
      <w:i/>
    </w:rPr>
  </w:style>
  <w:style w:type="paragraph" w:styleId="761">
    <w:name w:val="Intense Quote"/>
    <w:link w:val="76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lang w:eastAsia="zh-CN"/>
    </w:rPr>
  </w:style>
  <w:style w:type="character" w:styleId="762" w:customStyle="1">
    <w:name w:val="Насичена цитата Знак"/>
    <w:link w:val="761"/>
    <w:uiPriority w:val="30"/>
    <w:pPr>
      <w:pBdr/>
      <w:spacing/>
      <w:ind/>
    </w:pPr>
    <w:rPr>
      <w:i/>
    </w:rPr>
  </w:style>
  <w:style w:type="paragraph" w:styleId="763">
    <w:name w:val="Header"/>
    <w:basedOn w:val="708"/>
    <w:link w:val="914"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764" w:customStyle="1">
    <w:name w:val="Header Char"/>
    <w:uiPriority w:val="99"/>
    <w:pPr>
      <w:pBdr/>
      <w:spacing/>
      <w:ind/>
    </w:pPr>
  </w:style>
  <w:style w:type="paragraph" w:styleId="765">
    <w:name w:val="Footer"/>
    <w:basedOn w:val="708"/>
    <w:link w:val="915"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766" w:customStyle="1">
    <w:name w:val="Footer Char"/>
    <w:uiPriority w:val="99"/>
    <w:pPr>
      <w:pBdr/>
      <w:spacing/>
      <w:ind/>
    </w:pPr>
  </w:style>
  <w:style w:type="paragraph" w:styleId="767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/>
      <w:sz w:val="18"/>
      <w:szCs w:val="18"/>
      <w:lang w:eastAsia="zh-CN"/>
    </w:rPr>
  </w:style>
  <w:style w:type="character" w:styleId="768" w:customStyle="1">
    <w:name w:val="Caption Char"/>
    <w:uiPriority w:val="99"/>
    <w:pPr>
      <w:pBdr/>
      <w:spacing/>
      <w:ind/>
    </w:pPr>
  </w:style>
  <w:style w:type="table" w:styleId="769">
    <w:name w:val="Table Grid"/>
    <w:basedOn w:val="71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Table Grid Light"/>
    <w:uiPriority w:val="59"/>
    <w:pPr>
      <w:pBdr/>
      <w:spacing/>
      <w:ind/>
    </w:pPr>
    <w:rPr>
      <w:lang w:val="ru-RU"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1"/>
    <w:uiPriority w:val="59"/>
    <w:pPr>
      <w:pBdr/>
      <w:spacing/>
      <w:ind/>
    </w:pPr>
    <w:rPr>
      <w:lang w:val="ru-RU"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2"/>
    <w:uiPriority w:val="59"/>
    <w:pPr>
      <w:pBdr/>
      <w:spacing/>
      <w:ind/>
    </w:pPr>
    <w:rPr>
      <w:lang w:val="ru-RU"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1 Light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1 Light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1 Light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1 Light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1 Light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1 Light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2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2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2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2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2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2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3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3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3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3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3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3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"/>
    <w:uiPriority w:val="5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4 - Accent 1"/>
    <w:uiPriority w:val="5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4 - Accent 2"/>
    <w:uiPriority w:val="5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4 - Accent 3"/>
    <w:uiPriority w:val="5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4 - Accent 4"/>
    <w:uiPriority w:val="5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4 - Accent 5"/>
    <w:uiPriority w:val="5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4 - Accent 6"/>
    <w:uiPriority w:val="5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5 Dark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5 Dark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5 Dark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5 Dark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5 Dark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5 Dark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6 Colorful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6 Colorful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6 Colorful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6 Colorful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6 Colorful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6 Colorful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7 Colorful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7 Colorful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7 Colorful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7 Colorful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7 Colorful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7 Colorful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1 Light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1 Light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1 Light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1 Light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1 Light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1 Light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2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2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2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2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2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2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3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3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3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3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3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3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4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4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4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4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4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4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5 Dark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5 Dark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5 Dark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5 Dark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5 Dark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5 Dark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6 Colorful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6 Colorful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6 Colorful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6 Colorful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6 Colorful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6 Colorful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7 Colorful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7 Colorful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7 Colorful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7 Colorful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7 Colorful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7 Colorful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ned - Accent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ned - Accent 1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ned - Accent 2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ned - Accent 3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ned - Accent 4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ned - Accent 5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ned - Accent 6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Bordered &amp; Lined - Accent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&amp; Lined - Accent 1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&amp; Lined - Accent 2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&amp; Lined - Accent 3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&amp; Lined - Accent 4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&amp; Lined - Accent 5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&amp; Lined - Accent 6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5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paragraph" w:styleId="896">
    <w:name w:val="footnote text"/>
    <w:link w:val="897"/>
    <w:uiPriority w:val="99"/>
    <w:semiHidden/>
    <w:unhideWhenUsed/>
    <w:pPr>
      <w:pBdr/>
      <w:spacing w:after="40"/>
      <w:ind/>
    </w:pPr>
    <w:rPr>
      <w:sz w:val="18"/>
      <w:lang w:eastAsia="zh-CN"/>
    </w:rPr>
  </w:style>
  <w:style w:type="character" w:styleId="897" w:customStyle="1">
    <w:name w:val="Текст виноски Знак"/>
    <w:link w:val="896"/>
    <w:uiPriority w:val="99"/>
    <w:pPr>
      <w:pBdr/>
      <w:spacing/>
      <w:ind/>
    </w:pPr>
    <w:rPr>
      <w:sz w:val="18"/>
    </w:rPr>
  </w:style>
  <w:style w:type="character" w:styleId="898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99">
    <w:name w:val="endnote text"/>
    <w:link w:val="900"/>
    <w:uiPriority w:val="99"/>
    <w:semiHidden/>
    <w:unhideWhenUsed/>
    <w:pPr>
      <w:pBdr/>
      <w:spacing/>
      <w:ind/>
    </w:pPr>
    <w:rPr>
      <w:lang w:eastAsia="zh-CN"/>
    </w:rPr>
  </w:style>
  <w:style w:type="character" w:styleId="900" w:customStyle="1">
    <w:name w:val="Текст кінцевої виноски Знак"/>
    <w:link w:val="899"/>
    <w:uiPriority w:val="99"/>
    <w:pPr>
      <w:pBdr/>
      <w:spacing/>
      <w:ind/>
    </w:pPr>
    <w:rPr>
      <w:sz w:val="20"/>
    </w:rPr>
  </w:style>
  <w:style w:type="character" w:styleId="901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02">
    <w:name w:val="toc 1"/>
    <w:uiPriority w:val="39"/>
    <w:unhideWhenUsed/>
    <w:pPr>
      <w:pBdr/>
      <w:spacing w:after="57"/>
      <w:ind/>
    </w:pPr>
    <w:rPr>
      <w:lang w:eastAsia="zh-CN"/>
    </w:rPr>
  </w:style>
  <w:style w:type="paragraph" w:styleId="903">
    <w:name w:val="toc 2"/>
    <w:uiPriority w:val="39"/>
    <w:unhideWhenUsed/>
    <w:pPr>
      <w:pBdr/>
      <w:spacing w:after="57"/>
      <w:ind w:left="283"/>
    </w:pPr>
    <w:rPr>
      <w:lang w:eastAsia="zh-CN"/>
    </w:rPr>
  </w:style>
  <w:style w:type="paragraph" w:styleId="904">
    <w:name w:val="toc 3"/>
    <w:uiPriority w:val="39"/>
    <w:unhideWhenUsed/>
    <w:pPr>
      <w:pBdr/>
      <w:spacing w:after="57"/>
      <w:ind w:left="567"/>
    </w:pPr>
    <w:rPr>
      <w:lang w:eastAsia="zh-CN"/>
    </w:rPr>
  </w:style>
  <w:style w:type="paragraph" w:styleId="905">
    <w:name w:val="toc 4"/>
    <w:uiPriority w:val="39"/>
    <w:unhideWhenUsed/>
    <w:pPr>
      <w:pBdr/>
      <w:spacing w:after="57"/>
      <w:ind w:left="850"/>
    </w:pPr>
    <w:rPr>
      <w:lang w:eastAsia="zh-CN"/>
    </w:rPr>
  </w:style>
  <w:style w:type="paragraph" w:styleId="906">
    <w:name w:val="toc 5"/>
    <w:uiPriority w:val="39"/>
    <w:unhideWhenUsed/>
    <w:pPr>
      <w:pBdr/>
      <w:spacing w:after="57"/>
      <w:ind w:left="1134"/>
    </w:pPr>
    <w:rPr>
      <w:lang w:eastAsia="zh-CN"/>
    </w:rPr>
  </w:style>
  <w:style w:type="paragraph" w:styleId="907">
    <w:name w:val="toc 6"/>
    <w:uiPriority w:val="39"/>
    <w:unhideWhenUsed/>
    <w:pPr>
      <w:pBdr/>
      <w:spacing w:after="57"/>
      <w:ind w:left="1417"/>
    </w:pPr>
    <w:rPr>
      <w:lang w:eastAsia="zh-CN"/>
    </w:rPr>
  </w:style>
  <w:style w:type="paragraph" w:styleId="908">
    <w:name w:val="toc 7"/>
    <w:uiPriority w:val="39"/>
    <w:unhideWhenUsed/>
    <w:pPr>
      <w:pBdr/>
      <w:spacing w:after="57"/>
      <w:ind w:left="1701"/>
    </w:pPr>
    <w:rPr>
      <w:lang w:eastAsia="zh-CN"/>
    </w:rPr>
  </w:style>
  <w:style w:type="paragraph" w:styleId="909">
    <w:name w:val="toc 8"/>
    <w:uiPriority w:val="39"/>
    <w:unhideWhenUsed/>
    <w:pPr>
      <w:pBdr/>
      <w:spacing w:after="57"/>
      <w:ind w:left="1984"/>
    </w:pPr>
    <w:rPr>
      <w:lang w:eastAsia="zh-CN"/>
    </w:rPr>
  </w:style>
  <w:style w:type="paragraph" w:styleId="910">
    <w:name w:val="toc 9"/>
    <w:uiPriority w:val="39"/>
    <w:unhideWhenUsed/>
    <w:pPr>
      <w:pBdr/>
      <w:spacing w:after="57"/>
      <w:ind w:left="2268"/>
    </w:pPr>
    <w:rPr>
      <w:lang w:eastAsia="zh-CN"/>
    </w:rPr>
  </w:style>
  <w:style w:type="paragraph" w:styleId="911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12">
    <w:name w:val="table of figures"/>
    <w:uiPriority w:val="99"/>
    <w:unhideWhenUsed/>
    <w:pPr>
      <w:pBdr/>
      <w:spacing/>
      <w:ind/>
    </w:pPr>
    <w:rPr>
      <w:lang w:eastAsia="zh-CN"/>
    </w:rPr>
  </w:style>
  <w:style w:type="paragraph" w:styleId="913">
    <w:name w:val="Body Text"/>
    <w:basedOn w:val="708"/>
    <w:pPr>
      <w:pBdr/>
      <w:spacing w:after="120"/>
      <w:ind/>
    </w:pPr>
    <w:rPr>
      <w:sz w:val="28"/>
      <w:szCs w:val="28"/>
      <w:lang w:val="ru-RU"/>
    </w:rPr>
  </w:style>
  <w:style w:type="character" w:styleId="914" w:customStyle="1">
    <w:name w:val="Верхній колонтитул Знак"/>
    <w:link w:val="763"/>
    <w:pPr>
      <w:pBdr/>
      <w:spacing/>
      <w:ind/>
    </w:pPr>
    <w:rPr>
      <w:sz w:val="24"/>
      <w:szCs w:val="24"/>
      <w:lang w:eastAsia="ru-RU"/>
    </w:rPr>
  </w:style>
  <w:style w:type="character" w:styleId="915" w:customStyle="1">
    <w:name w:val="Нижній колонтитул Знак"/>
    <w:link w:val="765"/>
    <w:pPr>
      <w:pBdr/>
      <w:spacing/>
      <w:ind/>
    </w:pPr>
    <w:rPr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hyperlink" Target="https://zakon.rada.gov.ua/laws/show/1487-2022-%D0%BF" TargetMode="External"/><Relationship Id="rId14" Type="http://schemas.openxmlformats.org/officeDocument/2006/relationships/hyperlink" Target="https://zakon.rada.gov.ua/laws/show/1487-2022-%D0%BF" TargetMode="External"/><Relationship Id="rId15" Type="http://schemas.openxmlformats.org/officeDocument/2006/relationships/hyperlink" Target="https://zakon.rada.gov.ua/laws/show/1487-2022-%D0%BF" TargetMode="External"/><Relationship Id="rId16" Type="http://schemas.openxmlformats.org/officeDocument/2006/relationships/hyperlink" Target="https://zakon.rada.gov.ua/laws/show/1487-2022-%D0%BF" TargetMode="External"/><Relationship Id="rId17" Type="http://schemas.openxmlformats.org/officeDocument/2006/relationships/hyperlink" Target="https://zakon.rada.gov.ua/laws/show/1487-2022-%D0%B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Марцева Т.І.</dc:creator>
  <cp:lastModifiedBy>Четвертакова Наталія Вікторівна</cp:lastModifiedBy>
  <cp:revision>14</cp:revision>
  <dcterms:created xsi:type="dcterms:W3CDTF">2024-12-20T09:46:00Z</dcterms:created>
  <dcterms:modified xsi:type="dcterms:W3CDTF">2025-12-19T10:32:54Z</dcterms:modified>
</cp:coreProperties>
</file>