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  грудня  2025 року</w:t>
        <w:tab/>
        <w:t xml:space="preserve">м. Мена</w:t>
        <w:tab/>
        <w:t xml:space="preserve">№ 353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394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внесення змін до розпорядження міського голови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від 30 квітня 2025 року № 110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8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</w:rPr>
        <w:t xml:space="preserve">, постанови Кабінету Міністрів України  від 04 грудня 2019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 № 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before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Внести  зміни до розпорядження міського голови від  30 квітня 2025 року № 110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«Про здійснення розпорядниками (одержувачами) бюджетних коштів попередньої оплати товарів, робіт і послуг, що закуповуються за бюджетні кошти по Менській міській раді»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виклавши пункт 3 в наступній редакції: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8" w:firstLine="567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«3. Для проведення розрахунків за природний газ відповідно до укладених договорів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 постачання природного газу між товариством з обмеженою відповідальністю «Газопостачальна компанія «Нафтогаз Трейдинг» та Менською міською радою, структурними підрозділами міської ради, бюджетними установами та закладами,  комунальними некомерційними підпр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иємствами та комунальними підприємствами Менської міської ради дозволити здійснення попередньої оплати у розмірі 100 відсотків планової вартості природного газу за грудень поточного року терміном на три місяці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8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</w:tabs>
        <w:spacing w:line="253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2025-12-16T10:11:27Z</dcterms:modified>
</cp:coreProperties>
</file>