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(шістдесят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восьма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Першого (позачергового) пленарного засідання Менської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04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____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-00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приміщення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адресою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Героїв АТО, буд. 3,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Менській міській раді встановлено 26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депутатських мандатів, обрано 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склало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повноваження. На сесії зареєстровано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депутатів, присутні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депутатів, відсутні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ст. 42, 50 Закону України «Про місцеве самоврядування в Україні» пленарне засідання 65 сесії відбувається під головуванням секретаря ради Юрія СТАЛЬНИЧЕНКА, оскільки міський голова Геннадій ПРИМАКОВ увільнений у зв’язку з мобілізацією.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ст. 5, 6 Регламенту Менської міської ради 8 скликання Сесії ради проводяться гласно із забезпеченням права кожного бути присутнім на них, крім випадків передбачених законодавством. Порядок доступу до засі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дань визначається радою відповідно до закону та цього Регламенту. Представники засобів масової інформації та журналісти, які бажають бути присутніми на пленарному засіданні сесії, допускаються за умови пред’явлення службового (журналістського) посвідчення.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запропонував зайняти визначені місця і відкрив перше (позачергове) 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 депутатів згідно ст. 46 п.4 Закону України «Про місцеве самоврядування в Україні» та ст.19, 20 Регламенту Менської міської ради, сьогодні проводиться перше (позачергове) 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саме: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719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субвенції</w:t>
      </w:r>
      <w:r>
        <w:rPr>
          <w:rFonts w:ascii="Times New Roman" w:hAnsi="Times New Roman" w:cs="Times New Roman"/>
          <w:sz w:val="28"/>
          <w:szCs w:val="28"/>
        </w:rPr>
        <w:t xml:space="preserve"> з бюджету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державного бюджету</w:t>
      </w:r>
      <w:r>
        <w:rPr>
          <w:rFonts w:ascii="Times New Roman" w:hAnsi="Times New Roman" w:cs="Times New Roman"/>
          <w:sz w:val="28"/>
          <w:szCs w:val="28"/>
        </w:rPr>
        <w:t xml:space="preserve"> в/ч А 5141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720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субвенції</w:t>
      </w:r>
      <w:r>
        <w:rPr>
          <w:rFonts w:ascii="Times New Roman" w:hAnsi="Times New Roman" w:cs="Times New Roman"/>
          <w:sz w:val="28"/>
          <w:szCs w:val="28"/>
        </w:rPr>
        <w:t xml:space="preserve"> з бюджету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державного бюджету</w:t>
      </w:r>
      <w:r>
        <w:rPr>
          <w:rFonts w:ascii="Times New Roman" w:hAnsi="Times New Roman" w:cs="Times New Roman"/>
          <w:sz w:val="28"/>
          <w:szCs w:val="28"/>
        </w:rPr>
        <w:t xml:space="preserve"> в/ч А 1815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721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субвенції</w:t>
      </w:r>
      <w:r>
        <w:rPr>
          <w:rFonts w:ascii="Times New Roman" w:hAnsi="Times New Roman" w:cs="Times New Roman"/>
          <w:sz w:val="28"/>
          <w:szCs w:val="28"/>
        </w:rPr>
        <w:t xml:space="preserve"> з бюджету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державного бюджету</w:t>
      </w:r>
      <w:r>
        <w:rPr>
          <w:rFonts w:ascii="Times New Roman" w:hAnsi="Times New Roman" w:cs="Times New Roman"/>
          <w:sz w:val="28"/>
          <w:szCs w:val="28"/>
        </w:rPr>
        <w:t xml:space="preserve"> в/ч А 5237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722.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субвенції з бюджету Менської міської територіальної громади до обласного бюджету, для Менської підстанції Е(Ш)МД.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прийняття</w:t>
      </w:r>
      <w:r>
        <w:rPr>
          <w:rFonts w:ascii="Times New Roman" w:hAnsi="Times New Roman" w:cs="Times New Roman"/>
          <w:sz w:val="28"/>
          <w:szCs w:val="28"/>
        </w:rPr>
        <w:t xml:space="preserve"> майна у </w:t>
      </w:r>
      <w:r>
        <w:rPr>
          <w:rFonts w:ascii="Times New Roman" w:hAnsi="Times New Roman" w:cs="Times New Roman"/>
          <w:sz w:val="28"/>
          <w:szCs w:val="28"/>
        </w:rPr>
        <w:t xml:space="preserve">комунальну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власність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724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підвищення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обороноздатності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безпеки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умовах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воєнного</w:t>
      </w:r>
      <w:r>
        <w:rPr>
          <w:rFonts w:ascii="Times New Roman" w:hAnsi="Times New Roman" w:cs="Times New Roman"/>
          <w:sz w:val="28"/>
          <w:szCs w:val="28"/>
        </w:rPr>
        <w:t xml:space="preserve"> стану на 2025 </w:t>
      </w:r>
      <w:r>
        <w:rPr>
          <w:rFonts w:ascii="Times New Roman" w:hAnsi="Times New Roman" w:cs="Times New Roman"/>
          <w:sz w:val="28"/>
          <w:szCs w:val="28"/>
        </w:rPr>
        <w:t xml:space="preserve">рік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новій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забезпечення  функціонування громадської будівлі Менської міської територіальної громади в перехідний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Схеми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розрахунку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відшкодування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витрат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опалення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приміщення</w:t>
      </w:r>
      <w:r>
        <w:rPr>
          <w:rFonts w:ascii="Times New Roman" w:hAnsi="Times New Roman" w:cs="Times New Roman"/>
          <w:sz w:val="28"/>
          <w:szCs w:val="28"/>
        </w:rPr>
        <w:t xml:space="preserve"> твердим </w:t>
      </w:r>
      <w:r>
        <w:rPr>
          <w:rFonts w:ascii="Times New Roman" w:hAnsi="Times New Roman" w:cs="Times New Roman"/>
          <w:sz w:val="28"/>
          <w:szCs w:val="28"/>
        </w:rPr>
        <w:t xml:space="preserve">паливом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728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встановлення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зміни</w:t>
      </w:r>
      <w:r>
        <w:rPr>
          <w:rFonts w:ascii="Times New Roman" w:hAnsi="Times New Roman" w:cs="Times New Roman"/>
          <w:sz w:val="28"/>
          <w:szCs w:val="28"/>
        </w:rPr>
        <w:t xml:space="preserve">) меж </w:t>
      </w:r>
      <w:r>
        <w:rPr>
          <w:rFonts w:ascii="Times New Roman" w:hAnsi="Times New Roman" w:cs="Times New Roman"/>
          <w:sz w:val="28"/>
          <w:szCs w:val="28"/>
        </w:rPr>
        <w:t xml:space="preserve">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729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створення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комісії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 xml:space="preserve">розгляду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допомоги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вирішення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житлового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окремим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категоріям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внутрішньо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переміщених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осіб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що</w:t>
      </w:r>
      <w:r>
        <w:rPr>
          <w:rFonts w:ascii="Times New Roman" w:hAnsi="Times New Roman" w:cs="Times New Roman"/>
          <w:sz w:val="28"/>
          <w:szCs w:val="28"/>
        </w:rPr>
        <w:t xml:space="preserve"> проживали на </w:t>
      </w:r>
      <w:r>
        <w:rPr>
          <w:rFonts w:ascii="Times New Roman" w:hAnsi="Times New Roman" w:cs="Times New Roman"/>
          <w:sz w:val="28"/>
          <w:szCs w:val="28"/>
        </w:rPr>
        <w:t xml:space="preserve">тимчасово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окупованій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Прийняти порядок денний за основу та в цілому.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звернувся до депутатів, затвердити такий порядок роботи сесії: для доповіді – до 20 хвилин, співдоповіді і заключного слова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10 хвилин. Виступаючим в обговоренні, для повторних виступів при обговоренні, для виступів за процедурою скороченого обговорення, для виступів з інформацією з питань порядку денного, для заяв, внесення запитів, резолюцій, надається час тривалістю до 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хвилин, для виступів щодо кандидатур, процедури та з мотивів голосування, пояснень, зауважень, запитань, пропозицій, повідомлень і довідок, внесення поправок, а також виступів в «Різному» - до 2 хвилин. Кожні 2 години роботи сесії робити перерву 15 хвилин.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відсутність умов для голосування за допомогою електронної системи голосування, голосування проводити за допомогою підняття рук. Лічильній комісії відтворювати результати голосування у відомостях поіменного голосування.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затвердження вищеназваного порядку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пленарного засідання.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порядок роботи сесії.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оголосив про перехід до розгляду питань порядку денного.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субвенції</w:t>
      </w:r>
      <w:r>
        <w:rPr>
          <w:rFonts w:ascii="Times New Roman" w:hAnsi="Times New Roman" w:cs="Times New Roman"/>
          <w:sz w:val="28"/>
          <w:szCs w:val="28"/>
        </w:rPr>
        <w:t xml:space="preserve"> з бюджету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державного бюджету</w:t>
      </w:r>
      <w:r>
        <w:rPr>
          <w:rFonts w:ascii="Times New Roman" w:hAnsi="Times New Roman" w:cs="Times New Roman"/>
          <w:sz w:val="28"/>
          <w:szCs w:val="28"/>
        </w:rPr>
        <w:t xml:space="preserve"> в/ч А 5141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зазначив, що даний </w:t>
      </w:r>
      <w:r>
        <w:rPr>
          <w:sz w:val="28"/>
          <w:szCs w:val="28"/>
          <w:lang w:val="uk-UA"/>
        </w:rPr>
        <w:t xml:space="preserve">пр</w:t>
      </w:r>
      <w:r>
        <w:rPr>
          <w:sz w:val="28"/>
          <w:szCs w:val="28"/>
          <w:lang w:val="uk-UA"/>
        </w:rPr>
        <w:t xml:space="preserve">оєкт</w:t>
      </w:r>
      <w:r>
        <w:rPr>
          <w:sz w:val="28"/>
          <w:szCs w:val="28"/>
          <w:lang w:val="uk-UA"/>
        </w:rPr>
        <w:t xml:space="preserve"> рішення був розглянутий 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Зважаючи, що зауважень, доповнень не надходило,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субвенції</w:t>
      </w:r>
      <w:r>
        <w:rPr>
          <w:rFonts w:ascii="Times New Roman" w:hAnsi="Times New Roman" w:cs="Times New Roman"/>
          <w:sz w:val="28"/>
          <w:szCs w:val="28"/>
        </w:rPr>
        <w:t xml:space="preserve"> з бюджету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</w:rPr>
        <w:t xml:space="preserve"> до державного бюджету в/ч А 5141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720.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субвенції</w:t>
      </w:r>
      <w:r>
        <w:rPr>
          <w:rFonts w:ascii="Times New Roman" w:hAnsi="Times New Roman" w:cs="Times New Roman"/>
          <w:sz w:val="28"/>
          <w:szCs w:val="28"/>
        </w:rPr>
        <w:t xml:space="preserve"> з бюджету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державного бюджету</w:t>
      </w:r>
      <w:r>
        <w:rPr>
          <w:rFonts w:ascii="Times New Roman" w:hAnsi="Times New Roman" w:cs="Times New Roman"/>
          <w:sz w:val="28"/>
          <w:szCs w:val="28"/>
        </w:rPr>
        <w:t xml:space="preserve"> в/ч А 1815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зазначив, що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розглянутий 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Зважаючи, що зауважень, доповнень не надходило,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субвенції</w:t>
      </w:r>
      <w:r>
        <w:rPr>
          <w:rFonts w:ascii="Times New Roman" w:hAnsi="Times New Roman" w:cs="Times New Roman"/>
          <w:sz w:val="28"/>
          <w:szCs w:val="28"/>
        </w:rPr>
        <w:t xml:space="preserve"> з бюджету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</w:rPr>
        <w:t xml:space="preserve"> до державного бюджету в/ч А 1815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субвенції</w:t>
      </w:r>
      <w:r>
        <w:rPr>
          <w:rFonts w:ascii="Times New Roman" w:hAnsi="Times New Roman" w:cs="Times New Roman"/>
          <w:sz w:val="28"/>
          <w:szCs w:val="28"/>
        </w:rPr>
        <w:t xml:space="preserve"> з бюджету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державного бюджету</w:t>
      </w:r>
      <w:r>
        <w:rPr>
          <w:rFonts w:ascii="Times New Roman" w:hAnsi="Times New Roman" w:cs="Times New Roman"/>
          <w:sz w:val="28"/>
          <w:szCs w:val="28"/>
        </w:rPr>
        <w:t xml:space="preserve"> в/ч А 5237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зазначив, що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розглянутий 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Зважаючи, що зауважень, доповнень не надходило,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721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субвенції</w:t>
      </w:r>
      <w:r>
        <w:rPr>
          <w:rFonts w:ascii="Times New Roman" w:hAnsi="Times New Roman" w:cs="Times New Roman"/>
          <w:sz w:val="28"/>
          <w:szCs w:val="28"/>
        </w:rPr>
        <w:t xml:space="preserve"> з бюджету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</w:rPr>
        <w:t xml:space="preserve"> до державного бюджету в/ч А 5237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722.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Про виділення субвенції з бюджету Менської міської територіальної громади до обласного бюджету, для Менської підстанції Е(Ш)МД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СЛУХАЛИ: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зазначив, що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розглянутий на</w:t>
      </w:r>
      <w:r>
        <w:rPr>
          <w:sz w:val="28"/>
          <w:szCs w:val="28"/>
          <w:lang w:val="uk-UA"/>
        </w:rPr>
        <w:t xml:space="preserve">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Зважаючи, що зауважень, доповнень не надходило,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722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субвенції з бюджету Менської міської територіальної громади до обласного бюджету, для Менської підстанції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(Ш)МД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723.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прийняття</w:t>
      </w:r>
      <w:r>
        <w:rPr>
          <w:rFonts w:ascii="Times New Roman" w:hAnsi="Times New Roman" w:cs="Times New Roman"/>
          <w:sz w:val="28"/>
          <w:szCs w:val="28"/>
        </w:rPr>
        <w:t xml:space="preserve"> майна у </w:t>
      </w:r>
      <w:r>
        <w:rPr>
          <w:rFonts w:ascii="Times New Roman" w:hAnsi="Times New Roman" w:cs="Times New Roman"/>
          <w:sz w:val="28"/>
          <w:szCs w:val="28"/>
        </w:rPr>
        <w:t xml:space="preserve">комунальну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власність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зазначив, що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розглянутий 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Зважаючи, що зауважень, доповнень не надходило,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723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прийняття</w:t>
      </w:r>
      <w:r>
        <w:rPr>
          <w:rFonts w:ascii="Times New Roman" w:hAnsi="Times New Roman" w:cs="Times New Roman"/>
          <w:sz w:val="28"/>
          <w:szCs w:val="28"/>
        </w:rPr>
        <w:t xml:space="preserve"> майна у </w:t>
      </w:r>
      <w:r>
        <w:rPr>
          <w:rFonts w:ascii="Times New Roman" w:hAnsi="Times New Roman" w:cs="Times New Roman"/>
          <w:sz w:val="28"/>
          <w:szCs w:val="28"/>
        </w:rPr>
        <w:t xml:space="preserve">комунальну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власність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724.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підвищення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обороноздатності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безпеки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умовах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воєнного</w:t>
      </w:r>
      <w:r>
        <w:rPr>
          <w:rFonts w:ascii="Times New Roman" w:hAnsi="Times New Roman" w:cs="Times New Roman"/>
          <w:sz w:val="28"/>
          <w:szCs w:val="28"/>
        </w:rPr>
        <w:t xml:space="preserve"> стану на 2025 </w:t>
      </w:r>
      <w:r>
        <w:rPr>
          <w:rFonts w:ascii="Times New Roman" w:hAnsi="Times New Roman" w:cs="Times New Roman"/>
          <w:sz w:val="28"/>
          <w:szCs w:val="28"/>
        </w:rPr>
        <w:t xml:space="preserve">рік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новій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зазначив, що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розглянутий 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Зважаючи, що зауважень, доповнень не надходило,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724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2025 рік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725.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зазначив, що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розглянутий 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Зважаючи, що зауважень, доповнень не надходило,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725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726.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забезпечення  функціонування громадської будівлі Менської міської територіальної громади в перехідний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зазначив, що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розглянутий 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Зважаючи, що зауважень, доповнень не надходило,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726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забезпечення  функціонування громадської будівлі Менської міської територіальної громади в перехідний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727.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Схеми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розрахунку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відшкодування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витрат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опал</w:t>
      </w:r>
      <w:r>
        <w:rPr>
          <w:rFonts w:ascii="Times New Roman" w:hAnsi="Times New Roman" w:cs="Times New Roman"/>
          <w:sz w:val="28"/>
          <w:szCs w:val="28"/>
        </w:rPr>
        <w:t xml:space="preserve">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приміщення</w:t>
      </w:r>
      <w:r>
        <w:rPr>
          <w:rFonts w:ascii="Times New Roman" w:hAnsi="Times New Roman" w:cs="Times New Roman"/>
          <w:sz w:val="28"/>
          <w:szCs w:val="28"/>
        </w:rPr>
        <w:t xml:space="preserve"> твердим </w:t>
      </w:r>
      <w:r>
        <w:rPr>
          <w:rFonts w:ascii="Times New Roman" w:hAnsi="Times New Roman" w:cs="Times New Roman"/>
          <w:sz w:val="28"/>
          <w:szCs w:val="28"/>
        </w:rPr>
        <w:t xml:space="preserve">паливом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зазначив, що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розглянутий 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Зважаючи, що зауважень, доповнень не надходило,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727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Схеми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розрахунку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відшкодування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витрат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опал</w:t>
      </w:r>
      <w:r>
        <w:rPr>
          <w:rFonts w:ascii="Times New Roman" w:hAnsi="Times New Roman" w:cs="Times New Roman"/>
          <w:sz w:val="28"/>
          <w:szCs w:val="28"/>
        </w:rPr>
        <w:t xml:space="preserve">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приміщення</w:t>
      </w:r>
      <w:r>
        <w:rPr>
          <w:rFonts w:ascii="Times New Roman" w:hAnsi="Times New Roman" w:cs="Times New Roman"/>
          <w:sz w:val="28"/>
          <w:szCs w:val="28"/>
        </w:rPr>
        <w:t xml:space="preserve"> твердим </w:t>
      </w:r>
      <w:r>
        <w:rPr>
          <w:rFonts w:ascii="Times New Roman" w:hAnsi="Times New Roman" w:cs="Times New Roman"/>
          <w:sz w:val="28"/>
          <w:szCs w:val="28"/>
        </w:rPr>
        <w:t xml:space="preserve">паливом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728.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встановлення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зміни</w:t>
      </w:r>
      <w:r>
        <w:rPr>
          <w:rFonts w:ascii="Times New Roman" w:hAnsi="Times New Roman" w:cs="Times New Roman"/>
          <w:sz w:val="28"/>
          <w:szCs w:val="28"/>
        </w:rPr>
        <w:t xml:space="preserve">) меж </w:t>
      </w:r>
      <w:r>
        <w:rPr>
          <w:rFonts w:ascii="Times New Roman" w:hAnsi="Times New Roman" w:cs="Times New Roman"/>
          <w:sz w:val="28"/>
          <w:szCs w:val="28"/>
        </w:rPr>
        <w:t xml:space="preserve">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засіданні постійної депутатської комісії з питань містобудування, будівництва, земельних відносин та охорони природи</w:t>
      </w:r>
      <w:r>
        <w:rPr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Зважаючи, що зауважень, доповнень не надходило,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підтриманий депутатами,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728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встановлення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зміни</w:t>
      </w:r>
      <w:r>
        <w:rPr>
          <w:rFonts w:ascii="Times New Roman" w:hAnsi="Times New Roman" w:cs="Times New Roman"/>
          <w:sz w:val="28"/>
          <w:szCs w:val="28"/>
        </w:rPr>
        <w:t xml:space="preserve">) меж </w:t>
      </w:r>
      <w:r>
        <w:rPr>
          <w:rFonts w:ascii="Times New Roman" w:hAnsi="Times New Roman" w:cs="Times New Roman"/>
          <w:sz w:val="28"/>
          <w:szCs w:val="28"/>
        </w:rPr>
        <w:t xml:space="preserve">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729.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створення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комісії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 xml:space="preserve">розгляду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допомоги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вирішення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житлового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окремим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категоріям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внутрішньо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переміщених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осіб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що</w:t>
      </w:r>
      <w:r>
        <w:rPr>
          <w:rFonts w:ascii="Times New Roman" w:hAnsi="Times New Roman" w:cs="Times New Roman"/>
          <w:sz w:val="28"/>
          <w:szCs w:val="28"/>
        </w:rPr>
        <w:t xml:space="preserve"> проживали на </w:t>
      </w:r>
      <w:r>
        <w:rPr>
          <w:rFonts w:ascii="Times New Roman" w:hAnsi="Times New Roman" w:cs="Times New Roman"/>
          <w:sz w:val="28"/>
          <w:szCs w:val="28"/>
        </w:rPr>
        <w:t xml:space="preserve">тимчасово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окупованій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території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зазначив, що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розглянутий 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Зважаючи, що зауважень, доповнень не надходило,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підтриманий депутатами,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729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всі питання, які включені до порядку денного першого (позачергового) пленарного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скликання, розглянуті. 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розділі «Різне»: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Ю.В.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повідомив,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</w:t>
      </w:r>
      <w:r>
        <w:rPr>
          <w:rStyle w:val="95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результатами розгляду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звернення Людмили Леонтієвій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закупівлі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контейнерів (баків) в с-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Макошине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Менської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територіальної громади,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Менською міською радою до КП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направлено лист 02.12.2025 року № 04-16/2187 на виконання за належністю щодо проведення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необхідних робіт з закупівлі та встановлення сміттєвих баків за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адресою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зазначеною в зверненні. Відповідні заходи включено до «Програми підтримки КП 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Менської міської ради на 2025-2027 роки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(зі змінами)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прийнятої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56 сесії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Менської міської ради 8 скликання від 19 грудня 2024 року № 728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Розділ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(Обсяги та джерела фінансування)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пункт 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ВИСТУПИЛИ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Нерослик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А.П.,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Стальниченка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Ю.В., Леонтієву Л.В., Івченка Ю.В.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СЛУХАЛИ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Гончар Н.В.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відключення вуличного освітлення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вечірній час, та пропозиції облаштування світлофорів освітленням.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Ю.В.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Відключення енергії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відбувається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переважно через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російські обстріли критичної енергетичної інфраструктури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 та необхідність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економії електроенергії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 в умовах дефіциту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У зв’язку з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безпековою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ситуацією та враховуючи рекомендації Чернігівської ОДА розробити погод</w:t>
      </w:r>
      <w:bookmarkStart w:id="0" w:name="_GoBack"/>
      <w:r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инний графік вуличного освітлення.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Друге пленарне засідання 68-ї сесії 8 скликання заплановане на 19 грудня 2025 року.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Орієнтовний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час початку 10:00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оголосив закритим перше (по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зачергове) пленарне засідання 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hanging="708"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52710617"/>
      <w:docPartObj>
        <w:docPartGallery w:val="Page Numbers (Top of Page)"/>
        <w:docPartUnique w:val="true"/>
      </w:docPartObj>
      <w:rPr/>
    </w:sdtPr>
    <w:sdtContent>
      <w:p>
        <w:pPr>
          <w:pStyle w:val="920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92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292b2c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  <w:pPr>
      <w:pBdr/>
      <w:spacing/>
      <w:ind/>
    </w:pPr>
  </w:style>
  <w:style w:type="paragraph" w:styleId="729">
    <w:name w:val="Heading 1"/>
    <w:basedOn w:val="728"/>
    <w:next w:val="728"/>
    <w:link w:val="91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91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91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9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91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9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5">
    <w:name w:val="Heading 7"/>
    <w:basedOn w:val="728"/>
    <w:next w:val="728"/>
    <w:link w:val="91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6">
    <w:name w:val="Heading 8"/>
    <w:basedOn w:val="728"/>
    <w:next w:val="728"/>
    <w:link w:val="91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7">
    <w:name w:val="Heading 9"/>
    <w:basedOn w:val="728"/>
    <w:next w:val="728"/>
    <w:link w:val="91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table" w:styleId="741">
    <w:name w:val="Plain Table 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"/>
    <w:basedOn w:val="73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Table Grid Light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а простая 1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а простая 21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а простая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а простая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а простая 5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а-сетка 1 светл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а-сетк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-сетк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а-сетка 4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а-сетка 5 тем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а-сетка 6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-сетка 7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Список-таблица 1 светл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Список-таблиц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Список-таблиц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Список-таблица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Список-таблица 5 тем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Список-таблица 6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Список-таблица 7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6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87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88" w:customStyle="1">
    <w:name w:val="Heading 3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89" w:customStyle="1">
    <w:name w:val="Heading 4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90" w:customStyle="1">
    <w:name w:val="Heading 5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91" w:customStyle="1">
    <w:name w:val="Heading 6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2" w:customStyle="1">
    <w:name w:val="Heading 7 Char"/>
    <w:basedOn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3" w:customStyle="1">
    <w:name w:val="Heading 8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4" w:customStyle="1">
    <w:name w:val="Heading 9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5" w:customStyle="1">
    <w:name w:val="Title Char"/>
    <w:basedOn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96" w:customStyle="1">
    <w:name w:val="Subtitle Char"/>
    <w:basedOn w:val="7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7" w:customStyle="1">
    <w:name w:val="Quote Char"/>
    <w:basedOn w:val="7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8">
    <w:name w:val="Intense Emphasis"/>
    <w:basedOn w:val="73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899" w:customStyle="1">
    <w:name w:val="Intense Quote Char"/>
    <w:basedOn w:val="73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00">
    <w:name w:val="Intense Reference"/>
    <w:basedOn w:val="73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01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903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904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5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6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907" w:customStyle="1">
    <w:name w:val="Footnote Text Char"/>
    <w:basedOn w:val="738"/>
    <w:uiPriority w:val="99"/>
    <w:semiHidden/>
    <w:pPr>
      <w:pBdr/>
      <w:spacing/>
      <w:ind/>
    </w:pPr>
    <w:rPr>
      <w:sz w:val="20"/>
      <w:szCs w:val="20"/>
    </w:rPr>
  </w:style>
  <w:style w:type="character" w:styleId="908" w:customStyle="1">
    <w:name w:val="Endnote Text Char"/>
    <w:basedOn w:val="738"/>
    <w:uiPriority w:val="99"/>
    <w:semiHidden/>
    <w:pPr>
      <w:pBdr/>
      <w:spacing/>
      <w:ind/>
    </w:pPr>
    <w:rPr>
      <w:sz w:val="20"/>
      <w:szCs w:val="20"/>
    </w:rPr>
  </w:style>
  <w:style w:type="character" w:styleId="909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910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11" w:customStyle="1">
    <w:name w:val="Заголовок 1 Знак"/>
    <w:basedOn w:val="738"/>
    <w:link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2" w:customStyle="1">
    <w:name w:val="Заголовок 2 Знак"/>
    <w:basedOn w:val="738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13" w:customStyle="1">
    <w:name w:val="Заголовок 3 Знак"/>
    <w:basedOn w:val="738"/>
    <w:link w:val="7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14" w:customStyle="1">
    <w:name w:val="Заголовок 4 Знак"/>
    <w:basedOn w:val="738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15" w:customStyle="1">
    <w:name w:val="Заголовок 5 Знак"/>
    <w:basedOn w:val="738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16" w:customStyle="1">
    <w:name w:val="Заголовок 6 Знак"/>
    <w:basedOn w:val="738"/>
    <w:link w:val="734"/>
    <w:uiPriority w:val="9"/>
    <w:pPr>
      <w:pBdr/>
      <w:spacing/>
      <w:ind/>
    </w:pPr>
    <w:rPr>
      <w:rFonts w:ascii="Arial" w:hAnsi="Arial" w:eastAsia="Arial" w:cs="Arial"/>
      <w:b/>
      <w:bCs/>
    </w:rPr>
  </w:style>
  <w:style w:type="character" w:styleId="917" w:customStyle="1">
    <w:name w:val="Заголовок 7 Знак"/>
    <w:basedOn w:val="73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</w:rPr>
  </w:style>
  <w:style w:type="character" w:styleId="918" w:customStyle="1">
    <w:name w:val="Заголовок 8 Знак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</w:rPr>
  </w:style>
  <w:style w:type="character" w:styleId="919" w:customStyle="1">
    <w:name w:val="Заголовок 9 Знак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20">
    <w:name w:val="Header"/>
    <w:basedOn w:val="728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1" w:customStyle="1">
    <w:name w:val="Верхний колонтитул Знак"/>
    <w:basedOn w:val="738"/>
    <w:link w:val="920"/>
    <w:uiPriority w:val="99"/>
    <w:pPr>
      <w:pBdr/>
      <w:spacing/>
      <w:ind/>
    </w:pPr>
  </w:style>
  <w:style w:type="paragraph" w:styleId="922">
    <w:name w:val="Footer"/>
    <w:basedOn w:val="728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3" w:customStyle="1">
    <w:name w:val="Нижний колонтитул Знак"/>
    <w:basedOn w:val="738"/>
    <w:link w:val="922"/>
    <w:uiPriority w:val="99"/>
    <w:pPr>
      <w:pBdr/>
      <w:spacing/>
      <w:ind/>
    </w:pPr>
  </w:style>
  <w:style w:type="paragraph" w:styleId="924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925">
    <w:name w:val="No Spacing"/>
    <w:uiPriority w:val="1"/>
    <w:qFormat/>
    <w:pPr>
      <w:pBdr/>
      <w:spacing w:after="0" w:line="240" w:lineRule="auto"/>
      <w:ind/>
    </w:pPr>
  </w:style>
  <w:style w:type="paragraph" w:styleId="926">
    <w:name w:val="Title"/>
    <w:basedOn w:val="728"/>
    <w:next w:val="728"/>
    <w:link w:val="92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27" w:customStyle="1">
    <w:name w:val="Заголовок Знак"/>
    <w:basedOn w:val="738"/>
    <w:link w:val="926"/>
    <w:uiPriority w:val="10"/>
    <w:pPr>
      <w:pBdr/>
      <w:spacing/>
      <w:ind/>
    </w:pPr>
    <w:rPr>
      <w:sz w:val="48"/>
      <w:szCs w:val="48"/>
    </w:rPr>
  </w:style>
  <w:style w:type="paragraph" w:styleId="928">
    <w:name w:val="Subtitle"/>
    <w:basedOn w:val="728"/>
    <w:next w:val="728"/>
    <w:link w:val="92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29" w:customStyle="1">
    <w:name w:val="Подзаголовок Знак"/>
    <w:basedOn w:val="738"/>
    <w:link w:val="928"/>
    <w:uiPriority w:val="11"/>
    <w:pPr>
      <w:pBdr/>
      <w:spacing/>
      <w:ind/>
    </w:pPr>
    <w:rPr>
      <w:sz w:val="24"/>
      <w:szCs w:val="24"/>
    </w:rPr>
  </w:style>
  <w:style w:type="paragraph" w:styleId="930">
    <w:name w:val="Quote"/>
    <w:basedOn w:val="728"/>
    <w:next w:val="728"/>
    <w:link w:val="931"/>
    <w:uiPriority w:val="29"/>
    <w:qFormat/>
    <w:pPr>
      <w:pBdr/>
      <w:spacing/>
      <w:ind w:right="720" w:left="720"/>
    </w:pPr>
    <w:rPr>
      <w:i/>
    </w:rPr>
  </w:style>
  <w:style w:type="character" w:styleId="931" w:customStyle="1">
    <w:name w:val="Цитата 2 Знак"/>
    <w:basedOn w:val="738"/>
    <w:link w:val="930"/>
    <w:uiPriority w:val="29"/>
    <w:pPr>
      <w:pBdr/>
      <w:spacing/>
      <w:ind/>
    </w:pPr>
    <w:rPr>
      <w:i/>
    </w:rPr>
  </w:style>
  <w:style w:type="paragraph" w:styleId="932">
    <w:name w:val="Intense Quote"/>
    <w:basedOn w:val="728"/>
    <w:next w:val="728"/>
    <w:link w:val="93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33" w:customStyle="1">
    <w:name w:val="Выделенная цитата Знак"/>
    <w:basedOn w:val="738"/>
    <w:link w:val="932"/>
    <w:uiPriority w:val="30"/>
    <w:pPr>
      <w:pBdr/>
      <w:spacing/>
      <w:ind/>
    </w:pPr>
    <w:rPr>
      <w:i/>
      <w:shd w:val="clear" w:color="auto" w:fill="f2f2f2"/>
    </w:rPr>
  </w:style>
  <w:style w:type="character" w:styleId="934" w:customStyle="1">
    <w:name w:val="Header Char"/>
    <w:basedOn w:val="738"/>
    <w:uiPriority w:val="99"/>
    <w:pPr>
      <w:pBdr/>
      <w:spacing/>
      <w:ind/>
    </w:pPr>
  </w:style>
  <w:style w:type="character" w:styleId="935" w:customStyle="1">
    <w:name w:val="Footer Char"/>
    <w:basedOn w:val="738"/>
    <w:uiPriority w:val="99"/>
    <w:pPr>
      <w:pBdr/>
      <w:spacing/>
      <w:ind/>
    </w:pPr>
  </w:style>
  <w:style w:type="character" w:styleId="936" w:customStyle="1">
    <w:name w:val="Caption Char"/>
    <w:uiPriority w:val="99"/>
    <w:pPr>
      <w:pBdr/>
      <w:spacing/>
      <w:ind/>
    </w:pPr>
  </w:style>
  <w:style w:type="character" w:styleId="93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8" w:customStyle="1">
    <w:name w:val="Текст сноски Знак"/>
    <w:basedOn w:val="738"/>
    <w:link w:val="939"/>
    <w:uiPriority w:val="99"/>
    <w:semiHidden/>
    <w:pPr>
      <w:pBdr/>
      <w:spacing/>
      <w:ind/>
    </w:pPr>
    <w:rPr>
      <w:sz w:val="18"/>
    </w:rPr>
  </w:style>
  <w:style w:type="paragraph" w:styleId="939">
    <w:name w:val="footnote text"/>
    <w:basedOn w:val="728"/>
    <w:link w:val="93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0">
    <w:name w:val="footnote reference"/>
    <w:basedOn w:val="738"/>
    <w:uiPriority w:val="99"/>
    <w:unhideWhenUsed/>
    <w:pPr>
      <w:pBdr/>
      <w:spacing/>
      <w:ind/>
    </w:pPr>
    <w:rPr>
      <w:vertAlign w:val="superscript"/>
    </w:rPr>
  </w:style>
  <w:style w:type="character" w:styleId="941" w:customStyle="1">
    <w:name w:val="Текст концевой сноски Знак"/>
    <w:basedOn w:val="738"/>
    <w:link w:val="942"/>
    <w:uiPriority w:val="99"/>
    <w:semiHidden/>
    <w:pPr>
      <w:pBdr/>
      <w:spacing/>
      <w:ind/>
    </w:pPr>
    <w:rPr>
      <w:sz w:val="20"/>
    </w:rPr>
  </w:style>
  <w:style w:type="paragraph" w:styleId="942">
    <w:name w:val="endnote text"/>
    <w:basedOn w:val="728"/>
    <w:link w:val="94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paragraph" w:styleId="943">
    <w:name w:val="toc 1"/>
    <w:basedOn w:val="728"/>
    <w:next w:val="728"/>
    <w:uiPriority w:val="39"/>
    <w:unhideWhenUsed/>
    <w:pPr>
      <w:pBdr/>
      <w:spacing w:after="57"/>
      <w:ind/>
    </w:pPr>
  </w:style>
  <w:style w:type="paragraph" w:styleId="944">
    <w:name w:val="toc 2"/>
    <w:basedOn w:val="728"/>
    <w:next w:val="728"/>
    <w:uiPriority w:val="39"/>
    <w:unhideWhenUsed/>
    <w:pPr>
      <w:pBdr/>
      <w:spacing w:after="57"/>
      <w:ind w:left="283"/>
    </w:pPr>
  </w:style>
  <w:style w:type="paragraph" w:styleId="945">
    <w:name w:val="toc 3"/>
    <w:basedOn w:val="728"/>
    <w:next w:val="728"/>
    <w:uiPriority w:val="39"/>
    <w:unhideWhenUsed/>
    <w:pPr>
      <w:pBdr/>
      <w:spacing w:after="57"/>
      <w:ind w:left="567"/>
    </w:pPr>
  </w:style>
  <w:style w:type="paragraph" w:styleId="946">
    <w:name w:val="toc 4"/>
    <w:basedOn w:val="728"/>
    <w:next w:val="728"/>
    <w:uiPriority w:val="39"/>
    <w:unhideWhenUsed/>
    <w:pPr>
      <w:pBdr/>
      <w:spacing w:after="57"/>
      <w:ind w:left="850"/>
    </w:pPr>
  </w:style>
  <w:style w:type="paragraph" w:styleId="947">
    <w:name w:val="toc 5"/>
    <w:basedOn w:val="728"/>
    <w:next w:val="728"/>
    <w:uiPriority w:val="39"/>
    <w:unhideWhenUsed/>
    <w:pPr>
      <w:pBdr/>
      <w:spacing w:after="57"/>
      <w:ind w:left="1134"/>
    </w:pPr>
  </w:style>
  <w:style w:type="paragraph" w:styleId="948">
    <w:name w:val="toc 6"/>
    <w:basedOn w:val="728"/>
    <w:next w:val="728"/>
    <w:uiPriority w:val="39"/>
    <w:unhideWhenUsed/>
    <w:pPr>
      <w:pBdr/>
      <w:spacing w:after="57"/>
      <w:ind w:left="1417"/>
    </w:pPr>
  </w:style>
  <w:style w:type="paragraph" w:styleId="949">
    <w:name w:val="toc 7"/>
    <w:basedOn w:val="728"/>
    <w:next w:val="728"/>
    <w:uiPriority w:val="39"/>
    <w:unhideWhenUsed/>
    <w:pPr>
      <w:pBdr/>
      <w:spacing w:after="57"/>
      <w:ind w:left="1701"/>
    </w:pPr>
  </w:style>
  <w:style w:type="paragraph" w:styleId="950">
    <w:name w:val="toc 8"/>
    <w:basedOn w:val="728"/>
    <w:next w:val="728"/>
    <w:uiPriority w:val="39"/>
    <w:unhideWhenUsed/>
    <w:pPr>
      <w:pBdr/>
      <w:spacing w:after="57"/>
      <w:ind w:left="1984"/>
    </w:pPr>
  </w:style>
  <w:style w:type="paragraph" w:styleId="951">
    <w:name w:val="toc 9"/>
    <w:basedOn w:val="728"/>
    <w:next w:val="728"/>
    <w:uiPriority w:val="39"/>
    <w:unhideWhenUsed/>
    <w:pPr>
      <w:pBdr/>
      <w:spacing w:after="57"/>
      <w:ind w:left="2268"/>
    </w:p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>
    <w:name w:val="table of figures"/>
    <w:basedOn w:val="728"/>
    <w:next w:val="728"/>
    <w:uiPriority w:val="99"/>
    <w:unhideWhenUsed/>
    <w:pPr>
      <w:pBdr/>
      <w:spacing w:after="0"/>
      <w:ind/>
    </w:pPr>
  </w:style>
  <w:style w:type="paragraph" w:styleId="954">
    <w:name w:val="Normal (Web)"/>
    <w:basedOn w:val="72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5" w:customStyle="1">
    <w:name w:val="docdata"/>
    <w:basedOn w:val="738"/>
    <w:pPr>
      <w:pBdr/>
      <w:spacing/>
      <w:ind/>
    </w:pPr>
  </w:style>
  <w:style w:type="paragraph" w:styleId="956" w:customStyle="1">
    <w:name w:val="5873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3099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8">
    <w:name w:val="Balloon Text"/>
    <w:basedOn w:val="728"/>
    <w:link w:val="95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9" w:customStyle="1">
    <w:name w:val="Текст выноски Знак"/>
    <w:basedOn w:val="738"/>
    <w:link w:val="95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0" w:customStyle="1">
    <w:name w:val="docy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User999</dc:creator>
  <cp:lastModifiedBy>СТАЛЬНИЧЕНКО Юрій Валерійович</cp:lastModifiedBy>
  <cp:revision>14</cp:revision>
  <dcterms:created xsi:type="dcterms:W3CDTF">2025-12-08T14:23:00Z</dcterms:created>
  <dcterms:modified xsi:type="dcterms:W3CDTF">2025-12-29T12:15:33Z</dcterms:modified>
</cp:coreProperties>
</file>