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01 грудня 2025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331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персонального складу робочої групи щодо підготовки проведення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конкурсу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міжміські автобусні маршрути загального користування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/>
        <w:tabs>
          <w:tab w:val="clear" w:leader="none" w:pos="1134"/>
        </w:tabs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дповідно до статей 42, 50, 59 Закону України «Про місцеве самоврядування в Україні», на виконання пункту рішення виконавчого комітету Менської міської ради від 25 листопада 2025 року № 246 «Про створення робочої групи щодо підготовки проведення конкурсу 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міжміські автобусні маршрути загального користування»: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57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Затвердити персональний склад Робочої групи щодо підготовки проведення конкурсу на міжміські автобусні маршрути загального користування на території Менської міської територіальної громади (далі – Робоча група) згідно з Додатком до цього розпорядження.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57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/>
        <w:ind w:right="0" w:firstLine="567" w:left="0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цього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2025-12-15T13:15:39Z</dcterms:modified>
</cp:coreProperties>
</file>