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551DB5" w:rsidRPr="00DE0A77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Менської міської ради                                      </w:t>
      </w:r>
      <w:r w:rsidR="00DE0A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E0A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№ </w:t>
      </w:r>
      <w:r w:rsidR="00DE0A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218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DE0A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ПРОЄКТ  </w:t>
      </w:r>
      <w:r w:rsidR="00AC6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AC6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ЕКОНОМІЧНОГО І СОЦІАЛЬНОГО РОЗВИТКУ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ЕНСЬКОЇ МІСЬКОЇ ТЕРИТОРІАЛЬНОЇ ГРОМАДИ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РІК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Мена</w:t>
      </w:r>
      <w:proofErr w:type="spellEnd"/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br w:type="page" w:clear="all"/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DB5" w:rsidRDefault="00AC649B">
      <w:pPr>
        <w:tabs>
          <w:tab w:val="left" w:pos="324"/>
          <w:tab w:val="left" w:pos="83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</w:t>
      </w:r>
    </w:p>
    <w:tbl>
      <w:tblPr>
        <w:tblStyle w:val="StGen00"/>
        <w:tblW w:w="9860" w:type="dxa"/>
        <w:tblInd w:w="330" w:type="dxa"/>
        <w:tblLayout w:type="fixed"/>
        <w:tblLook w:val="0400" w:firstRow="0" w:lastRow="0" w:firstColumn="0" w:lastColumn="0" w:noHBand="0" w:noVBand="1"/>
      </w:tblPr>
      <w:tblGrid>
        <w:gridCol w:w="8900"/>
        <w:gridCol w:w="960"/>
      </w:tblGrid>
      <w:tr w:rsidR="00551DB5">
        <w:tc>
          <w:tcPr>
            <w:tcW w:w="8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AC649B">
            <w:pPr>
              <w:tabs>
                <w:tab w:val="left" w:pos="324"/>
                <w:tab w:val="left" w:pos="839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Вступ...............................................................................................................3     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551DB5">
            <w:pPr>
              <w:tabs>
                <w:tab w:val="left" w:pos="324"/>
                <w:tab w:val="left" w:pos="839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551DB5">
        <w:tc>
          <w:tcPr>
            <w:tcW w:w="8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AC649B">
            <w:pPr>
              <w:widowControl w:val="0"/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І. Аналіз економічного і соціального розвитку Менської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 2025 році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Економічно-соціальні та фінансові показники.........................4-6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Охорона здоров’я та соці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альний захист населення..................6-8</w:t>
            </w:r>
          </w:p>
          <w:p w:rsidR="00551DB5" w:rsidRDefault="00AC649B">
            <w:pPr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Земельні ресурси, сільське господарство, екології..................8-9                           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Житлово-комунальна сфера.....................................................9-10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Містобудування та архітектура..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............................................10-11</w:t>
            </w:r>
          </w:p>
          <w:p w:rsidR="00551DB5" w:rsidRDefault="00AC649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Дорожньо-транспортна інфраструктура та зв'язок...............11-12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Цивільний захист..........................................................................12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сфера.................................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..........................................12-13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туризм та молодіжний напрямок.........................13-14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Цифровізація................................................................................14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Адміністративні послуги..................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.....................................14-15</w:t>
            </w:r>
          </w:p>
          <w:p w:rsidR="00551DB5" w:rsidRDefault="00AC649B">
            <w:pPr>
              <w:widowControl w:val="0"/>
              <w:numPr>
                <w:ilvl w:val="0"/>
                <w:numId w:val="3"/>
              </w:num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 та спорт.....................................................15-16</w:t>
            </w:r>
          </w:p>
          <w:p w:rsidR="00551DB5" w:rsidRDefault="00551DB5">
            <w:pPr>
              <w:widowControl w:val="0"/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1DB5" w:rsidRDefault="00AC64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Джерела фінансування Програми.........................................................16</w:t>
            </w:r>
          </w:p>
          <w:p w:rsidR="00551DB5" w:rsidRDefault="00AC649B">
            <w:pPr>
              <w:widowControl w:val="0"/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ІІІ. Моніторинг та оцінка результативності реалізації Програми......16-17</w:t>
            </w:r>
          </w:p>
          <w:p w:rsidR="00551DB5" w:rsidRDefault="00AC649B">
            <w:pPr>
              <w:widowControl w:val="0"/>
              <w:tabs>
                <w:tab w:val="left" w:pos="545"/>
              </w:tabs>
              <w:ind w:left="10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551DB5">
            <w:pPr>
              <w:tabs>
                <w:tab w:val="left" w:pos="324"/>
                <w:tab w:val="left" w:pos="839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</w:p>
        </w:tc>
      </w:tr>
      <w:tr w:rsidR="00551DB5">
        <w:trPr>
          <w:trHeight w:val="306"/>
        </w:trPr>
        <w:tc>
          <w:tcPr>
            <w:tcW w:w="89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551DB5">
            <w:pPr>
              <w:tabs>
                <w:tab w:val="left" w:pos="324"/>
                <w:tab w:val="left" w:pos="8393"/>
              </w:tabs>
              <w:ind w:right="-1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DB5" w:rsidRDefault="00551DB5">
            <w:pPr>
              <w:tabs>
                <w:tab w:val="left" w:pos="324"/>
                <w:tab w:val="left" w:pos="8393"/>
              </w:tabs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1DB5" w:rsidRDefault="00551DB5">
      <w:pPr>
        <w:tabs>
          <w:tab w:val="left" w:pos="324"/>
          <w:tab w:val="left" w:pos="8393"/>
        </w:tabs>
        <w:ind w:right="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B5" w:rsidRDefault="00AC649B">
      <w:pPr>
        <w:tabs>
          <w:tab w:val="left" w:pos="324"/>
          <w:tab w:val="left" w:pos="83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1. Паспорт Програми економічного соціального розвитку Менської міської територіальної громади на 2026 рік</w:t>
      </w:r>
    </w:p>
    <w:p w:rsidR="00551DB5" w:rsidRDefault="00AC649B">
      <w:pPr>
        <w:tabs>
          <w:tab w:val="left" w:pos="324"/>
          <w:tab w:val="left" w:pos="83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2. Перелік місцевих цільових Програм, які передбачається фінансувати у 2026 році.</w:t>
      </w:r>
    </w:p>
    <w:p w:rsidR="00551DB5" w:rsidRDefault="00AC649B">
      <w:pPr>
        <w:tabs>
          <w:tab w:val="left" w:pos="324"/>
          <w:tab w:val="left" w:pos="83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3. Додаток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Пріоритетні об’єкти, які доцільно фінансувати із залученням коштів державного, місцевих бюджетів, коштів інвесторів та благодійної допомоги у 2026 році</w:t>
      </w:r>
    </w:p>
    <w:p w:rsidR="00551DB5" w:rsidRDefault="00551DB5">
      <w:pPr>
        <w:tabs>
          <w:tab w:val="left" w:pos="324"/>
          <w:tab w:val="left" w:pos="8393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51DB5" w:rsidRDefault="00AC649B">
      <w:pPr>
        <w:ind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 w:clear="all"/>
      </w:r>
    </w:p>
    <w:p w:rsidR="00551DB5" w:rsidRDefault="00AC649B">
      <w:pPr>
        <w:ind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ступ</w:t>
      </w:r>
    </w:p>
    <w:p w:rsidR="00551DB5" w:rsidRDefault="00551DB5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B5" w:rsidRDefault="00AC649B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рограма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економічного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соціального розвитку </w:t>
      </w:r>
      <w:r>
        <w:rPr>
          <w:rFonts w:ascii="Times New Roman" w:eastAsia="Times New Roman" w:hAnsi="Times New Roman" w:cs="Times New Roman"/>
          <w:sz w:val="28"/>
          <w:szCs w:val="28"/>
        </w:rPr>
        <w:t>Менської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за текстом - П</w:t>
      </w:r>
      <w:r>
        <w:rPr>
          <w:rFonts w:ascii="Times New Roman" w:eastAsia="Times New Roman" w:hAnsi="Times New Roman" w:cs="Times New Roman"/>
          <w:sz w:val="28"/>
          <w:szCs w:val="28"/>
        </w:rPr>
        <w:t>рограма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розроблен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аналізу економічно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-соціального розвитку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sz w:val="28"/>
          <w:szCs w:val="28"/>
        </w:rPr>
        <w:t>уації громади та визначення конкретних завдань розвитку громади на 2026 рік та спрямована на підвищення якості життя та добробуту громадян в період воєнного стану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1DB5" w:rsidRDefault="00AC649B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розроблена на підставі вимог Конституції України з урахуванням положень Законів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Закону України «Про державне прогнозування та розроблення програм економічного і соціального розвитку України»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 України «Про засади державної регіональної політики»;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Постанови Кабінету Міністрів України від 26 квітня 2003 року №621 «Про розроблення прогнозних і програмних документів економічного і соціального розвитку та складання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державного бюджету»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та доповненнями);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інших нормативно - актів, виданих Президентом України та Кабінетом Міністрів України. 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Головні пріоритети Програми узгоджені із Стратегією розвитку Менської міської територіальної громади на 2025-2027 роки та Стратегією сталого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 Чернігівської області на період до 2027 року, а також враховують Цілі сталого розвитку до 2030 року, визначені ООН.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Передбачається, що основна робота органів місцевої влади в громаді та реалізація ними програмних завдань на 2026 рік має забезпечи</w:t>
      </w:r>
      <w:r>
        <w:rPr>
          <w:rFonts w:ascii="Times New Roman" w:eastAsia="Times New Roman" w:hAnsi="Times New Roman" w:cs="Times New Roman"/>
          <w:sz w:val="28"/>
          <w:szCs w:val="28"/>
        </w:rPr>
        <w:t>ти вирішення, враховуючи виклики сьогодення, буде і надалі спрямовуватися на максимальну мобілізацію ресурсів з метою забезпечення стабільної роботи економіки в умовах воєнного стану, зокрема за рахунок реалізації комплексу заходів з підвищення стійкості г</w:t>
      </w:r>
      <w:r>
        <w:rPr>
          <w:rFonts w:ascii="Times New Roman" w:eastAsia="Times New Roman" w:hAnsi="Times New Roman" w:cs="Times New Roman"/>
          <w:sz w:val="28"/>
          <w:szCs w:val="28"/>
        </w:rPr>
        <w:t>ромади від можливої ескалації воєнних дій та безпеки для жителів громади і внутрішньо переміщених осіб; продовження робіт з відновлення пошкодженої інфраструктури, зі створення нових робочих місць через підтримку бізнесу, стимулювання залучення інвестицій,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підвищення рівня соціального захисту населення, зокрема осіб, постраждалих внаслідок військової агресії російської федерації; надання якісних освітніх, медичних, житлово-комунальних, адміністративних послуг; підвищення доходів населення.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 пере</w:t>
      </w:r>
      <w:r>
        <w:rPr>
          <w:rFonts w:ascii="Times New Roman" w:eastAsia="Times New Roman" w:hAnsi="Times New Roman" w:cs="Times New Roman"/>
          <w:sz w:val="28"/>
          <w:szCs w:val="28"/>
        </w:rPr>
        <w:t>дбачених Програмою заходів буде здійснюватися:</w:t>
      </w:r>
    </w:p>
    <w:p w:rsidR="00551DB5" w:rsidRDefault="00AC649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кошти місцевого бюджету;</w:t>
      </w:r>
    </w:p>
    <w:p w:rsidR="00551DB5" w:rsidRDefault="00AC649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субвенцій, інших трансфертів з державного бюджету місцевим бюджетам;</w:t>
      </w:r>
    </w:p>
    <w:p w:rsidR="00551DB5" w:rsidRDefault="00AC649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коштів міжнародних фінансових організацій;</w:t>
      </w:r>
    </w:p>
    <w:p w:rsidR="00551DB5" w:rsidRDefault="00AC649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коштів інвесторів.</w:t>
      </w:r>
      <w:r>
        <w:br w:type="page" w:clear="all"/>
      </w:r>
    </w:p>
    <w:p w:rsidR="00551DB5" w:rsidRDefault="00551DB5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B5" w:rsidRDefault="00AC64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45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АНАЛІЗ ЕКОНОМІЧНОГО  І СОЦІАЛЬНОГО РОЗВИТКУ  МЕНСЬКОЇ МІСЬКОЇ ТЕРИТОРІАЛЬНОЇ ГРОМАДИ У 2025 РОЦІ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Менська територіальна громада розташована в північній території України, на півночі Чернігівської області,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Корюківському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районі, недалеко (70-90 км) від </w:t>
      </w:r>
      <w:r>
        <w:rPr>
          <w:rFonts w:ascii="Times New Roman" w:eastAsia="Times New Roman" w:hAnsi="Times New Roman" w:cs="Times New Roman"/>
          <w:sz w:val="28"/>
          <w:szCs w:val="28"/>
        </w:rPr>
        <w:t>кордону з Білорусією та Росією. Відстань до центру району – 31 км, області – 69 км, Києва – 208 км.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півдня на північ громади проходить ділянка залізничної лінії з станціями в Мені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Макошине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Через громаду проходять автомобільні шляхи «Чернігів – Новгор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од-Сіверський» (і далі до кордону з Росією) та «Чернігів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і «Чернігів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Корюківка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 громади 1026,1 км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з яких біля 78% - землі сільськогосподарського призначення, ліси займають - 9% території.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Територія громади розташована в долині річки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Десна, притоки Дніпра. Поверхневі води представлені річками Десна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мережею ставків і озер, їх сумарна площа – біля 3137,5 гектарів.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складу громади входить 39 населених пунктів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(одне місто, одне селище, 37 сіл)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які формують 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кругів, з загальною кількістю мешканців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24646 мешканців (на 1 січня 2025 року)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Адміністративним центром громади є місто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населенням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10592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мешканців.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головним адміністративним, економічним та туристичним центром громади. Всі інші населені пунк</w:t>
      </w:r>
      <w:r>
        <w:rPr>
          <w:rFonts w:ascii="Times New Roman" w:eastAsia="Times New Roman" w:hAnsi="Times New Roman" w:cs="Times New Roman"/>
          <w:sz w:val="28"/>
          <w:szCs w:val="28"/>
        </w:rPr>
        <w:t>ти громади – переважно мають сільськогосподарський характер.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Юридичною основою та представницьким органом громади є Менська міська рада, що діє відповідно до Закону України «Про місцеве самоврядування в Україні».</w:t>
      </w:r>
    </w:p>
    <w:p w:rsidR="00551DB5" w:rsidRDefault="00AC649B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Економічно-соціальні та фінансові показники </w:t>
      </w:r>
    </w:p>
    <w:p w:rsidR="00551DB5" w:rsidRDefault="00AC649B">
      <w:pPr>
        <w:spacing w:before="240" w:after="240"/>
        <w:ind w:firstLine="2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   Кількість жителів  Менської громади станом на 01.10.2025 становить 24323 осіб, що в порівнянні з відповідним періодом минулого року на 447 осіб менше. Відповідно до розподілу за місцем проживання у Менській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громаді 43,0% населення проживає у місті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(10507 осіб - міське населення) та 57,0% у населених пунктах громади(13816 осіб – сільське населення). Менська громада зберігає аграрно-промисловий профіль із розвитком переробної промисловості.  Основні джерел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а доходів населення – робота в торгівлі, сільському господарстві та промисловості. Промисловість на території громади налічує 10 підприємств та забезпечує роботою близько 319  осіб. Функціонують такі підприємства: ТОВ «Нептун», Приватне акціонерне товарист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во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ПАК»,  Приватне акціонерне товариство «Шляхове ремонтно-будівельне управління № 82»,  ТОВ «Будівельна компанія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Волмакс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» та інші. Серед найбільших сільськогосподарських підприємств: ТОВ «ДП Зернятко», ТОВ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Мена-Авангард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», Сільськогосподарське това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риство з обмеженою відповідальністю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Олстас-льон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», ТОВ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Агроресурс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-2006», ФГ «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Бутенко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» та інші. Загалом на території громади зареєстровані та здійснюють свою діяльність 64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lastRenderedPageBreak/>
        <w:t xml:space="preserve">сільськогосподарських підприємств, в яких працює 891 чоловік. </w:t>
      </w:r>
      <w:r>
        <w:rPr>
          <w:rFonts w:ascii="Times New Roman" w:eastAsia="Times New Roman" w:hAnsi="Times New Roman" w:cs="Times New Roman"/>
          <w:sz w:val="28"/>
          <w:szCs w:val="28"/>
        </w:rPr>
        <w:t>Сільськогосподарські п</w:t>
      </w:r>
      <w:r>
        <w:rPr>
          <w:rFonts w:ascii="Times New Roman" w:eastAsia="Times New Roman" w:hAnsi="Times New Roman" w:cs="Times New Roman"/>
          <w:sz w:val="28"/>
          <w:szCs w:val="28"/>
        </w:rPr>
        <w:t>ідприємства громади в основному спеціалізуються на вирощуванні зернових і олійних культур, зберіганні зерна, а також розведенні м'ясної та молочної худоби. Ці підприємства є ключовими роботодавцями громади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. На 01.10.2025 року на території Менської громади кількість зареєстрованих юридичних та фізичних  осіб становить відповідно  378 та 955. Спостерігається активність у сфері реєстрації малого та середнього бізнесу, переважно у сфері  торгівлі та послуг. У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кварталі 2025 році у місті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відкрилася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піцерія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Пічюмі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”, власник якої передбачає працевлаштування не менше 4 працівників. Стаціонарна торгова роздрібна мережа  фізичних осіб-підприємців на території Менської міської ТГ налічує 36 продовольчих, 52 непр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одовольчих та 65 змішаних об’єктів торгівлі. Стаціонарна торгова роздрібна мережа  юридичної форми власності мережевий супермаркет «АТБ». 09 серпня 2025 року у місті відбулось офіційне відкриття ще одного мережевого супермаркету юридичної форми власності «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Епіцентр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Фуд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», в якому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працевлаштовано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7 працівників. На території населених пунктів Менської громади, де відсутня стаціонарна мережа підприємств торгівлі та побуту здійснюється виїзне обслуговування. Дислокація мережі об’єктів громадського харчування по М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енській ТГ  включає в себе кафе, бари, ресторани, їдальні, закусочні налічує 4 об’єкта юридичної форми власності та 8 об’єктів, що належить фізичним особам-підприємцям. Послуги з тимчасового проживання та розміщення населення надає міні-готель «Два лева» т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а готель «Континент». Банківські послуги надає АТ КБ «Приватбанк», відділення АТ «Ощадбанк»,  відділення </w:t>
      </w:r>
      <w:proofErr w:type="spellStart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Райффайзен</w:t>
      </w:r>
      <w:proofErr w:type="spellEnd"/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 банку «Аваль». Поштові послуги  надає АТ «Укрпошта» та ТОВ «Нова пошта». На території Менської громади працює 8 аптек, 1 автозаправна станці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 xml:space="preserve">я. Широко розгалужена мережа об’єктів, що надають побутові послуги населенню, що спрямовані на забезпечення зручності та комфорту мешканців Менської громади, а саме: сфера ремонту одягу; ремонт взуття та шкіряних виробів; перукарні, салони краси, манікюр;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пральня, прасування одягу; організація поховань, виготовлення пам'ятників; ремонт годинників і ювелірних виробів; таксі, вантажні перевезення, кур’єрська доставка, ремонт побутової техніки, автомобілів та інше.</w:t>
      </w:r>
    </w:p>
    <w:p w:rsidR="00551DB5" w:rsidRDefault="00AC649B">
      <w:pPr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Найбільші платники подат</w:t>
      </w:r>
      <w:r>
        <w:rPr>
          <w:rFonts w:ascii="Times New Roman" w:eastAsia="Times New Roman" w:hAnsi="Times New Roman" w:cs="Times New Roman"/>
          <w:sz w:val="28"/>
          <w:szCs w:val="28"/>
        </w:rPr>
        <w:t>ків Менської громади, 2025 р.</w:t>
      </w:r>
    </w:p>
    <w:tbl>
      <w:tblPr>
        <w:tblStyle w:val="StGen10"/>
        <w:tblW w:w="99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1"/>
        <w:gridCol w:w="4992"/>
      </w:tblGrid>
      <w:tr w:rsidR="00551DB5">
        <w:trPr>
          <w:trHeight w:val="285"/>
        </w:trPr>
        <w:tc>
          <w:tcPr>
            <w:tcW w:w="4991" w:type="dxa"/>
            <w:vMerge w:val="restart"/>
            <w:shd w:val="clear" w:color="auto" w:fill="F2F2F2"/>
            <w:vAlign w:val="center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 підприємства</w:t>
            </w:r>
          </w:p>
        </w:tc>
        <w:tc>
          <w:tcPr>
            <w:tcW w:w="4991" w:type="dxa"/>
            <w:shd w:val="clear" w:color="FFFFFF" w:fill="F2F2F2"/>
            <w:vAlign w:val="center"/>
          </w:tcPr>
          <w:p w:rsidR="00551DB5" w:rsidRDefault="00AC649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Сплачено,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51DB5">
        <w:trPr>
          <w:trHeight w:val="285"/>
        </w:trPr>
        <w:tc>
          <w:tcPr>
            <w:tcW w:w="4991" w:type="dxa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ТОВ "ДП ЗЕРНЯТКО"</w:t>
            </w:r>
          </w:p>
        </w:tc>
        <w:tc>
          <w:tcPr>
            <w:tcW w:w="4991" w:type="dxa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30593,3</w:t>
            </w:r>
          </w:p>
        </w:tc>
      </w:tr>
      <w:tr w:rsidR="00551DB5">
        <w:trPr>
          <w:trHeight w:val="285"/>
        </w:trPr>
        <w:tc>
          <w:tcPr>
            <w:tcW w:w="4991" w:type="dxa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ТОВ "МЕНА-АВАНГАРД"</w:t>
            </w:r>
          </w:p>
        </w:tc>
        <w:tc>
          <w:tcPr>
            <w:tcW w:w="4991" w:type="dxa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17797,0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ТОВ "КУКОВИЦЬКЕ"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13506,3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СТОВ  “ОЛСТАС-ЛЬОН”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8568,2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ТОВ "НЕПТУН"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8321,6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ФГ “БУТЕНКО”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8117,5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АТ "МЕНА ПАК"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7164,8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МВК №91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6281,3</w:t>
            </w:r>
          </w:p>
        </w:tc>
      </w:tr>
      <w:tr w:rsidR="00551DB5">
        <w:trPr>
          <w:trHeight w:val="285"/>
        </w:trPr>
        <w:tc>
          <w:tcPr>
            <w:tcW w:w="4991" w:type="dxa"/>
            <w:vMerge w:val="restart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 “БК “ВОЛМАКС”</w:t>
            </w:r>
          </w:p>
        </w:tc>
        <w:tc>
          <w:tcPr>
            <w:tcW w:w="4991" w:type="dxa"/>
            <w:vMerge w:val="restart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5265,9</w:t>
            </w:r>
          </w:p>
        </w:tc>
      </w:tr>
      <w:tr w:rsidR="00551DB5">
        <w:trPr>
          <w:trHeight w:val="285"/>
        </w:trPr>
        <w:tc>
          <w:tcPr>
            <w:tcW w:w="4991" w:type="dxa"/>
          </w:tcPr>
          <w:p w:rsidR="00551DB5" w:rsidRDefault="00AC649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ФГ Ковбаси Віктора Олеговича</w:t>
            </w:r>
          </w:p>
        </w:tc>
        <w:tc>
          <w:tcPr>
            <w:tcW w:w="4991" w:type="dxa"/>
          </w:tcPr>
          <w:p w:rsidR="00551DB5" w:rsidRDefault="00AC649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5091,9</w:t>
            </w:r>
          </w:p>
        </w:tc>
      </w:tr>
    </w:tbl>
    <w:p w:rsidR="00551DB5" w:rsidRDefault="00551DB5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2025 році Менська громада, попри виклики, пов’язані з війною російської федерації проти України, що вплинули на усі сфери життєдіяльності громади, активно працювала над забезпеченням стабільності у соціальній та економічній сферах. Вживалися заходи для з</w:t>
      </w:r>
      <w:r>
        <w:rPr>
          <w:rFonts w:ascii="Times New Roman" w:eastAsia="Times New Roman" w:hAnsi="Times New Roman" w:cs="Times New Roman"/>
          <w:sz w:val="28"/>
          <w:szCs w:val="28"/>
        </w:rPr>
        <w:t>абезпечення стабільного функціонування соціальних та гуманітарних служб, надання допомоги внутрішньо переміщеним особам, соціальна підтримка військовослужбовців і родин загиблих, активізації міжнародної співпраці і інвестиційної політики. Незважаючи на 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громада перебуває в дуже складній ситуації через загрози пошкодження енергетичної інфраструктури та під постійними обстрілами,  продовжуємо розвивати економіку і соціальну сферу в умовах невизначеності, недостатності повної статистичної інформації, 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вдяки співпраці місцевої влади з міжнародними організаціями та бізнесом. </w:t>
      </w:r>
    </w:p>
    <w:p w:rsidR="00551DB5" w:rsidRDefault="00551DB5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pStyle w:val="1"/>
        <w:keepNext w:val="0"/>
        <w:keepLines w:val="0"/>
        <w:numPr>
          <w:ilvl w:val="0"/>
          <w:numId w:val="5"/>
        </w:num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l784vukcx5ba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Охорона здоров'я та соціальний захист населення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28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Мережа закладів охорони здоров’я  у Менській громаді складається з 2  закладів – КНП «Менський Центр первинної медико-санітарної доп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омоги» та КНП «Менська міська лікарня» Менської міської ради Менської міської лікарні. Також функціонує екстрена медична допомога, яке є структурним підрозділом обласного Чернігівського центру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екстренної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медичної допомоги та медицини катастроф Чернігівсько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ї обласної ради Менська підстанція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Корюківської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станції та знаходиться   у м.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, селищі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Макошине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Бірківка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,  с. Стольне.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Комунальне некомерційне підприємство «Менський центр ПМСД» обслуговує населення Менської міської територіальної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громади та Берез</w:t>
      </w:r>
      <w:r>
        <w:rPr>
          <w:rFonts w:ascii="Times New Roman" w:eastAsia="Times New Roman" w:hAnsi="Times New Roman" w:cs="Times New Roman"/>
          <w:color w:val="000000"/>
          <w:sz w:val="28"/>
        </w:rPr>
        <w:t>нянської терито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ріальної громади.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Загальна кількість структурних підрозділів ‑ 5 амбулаторій. На території Менської ТГ розміщено 4 амбулаторії. Первинна медична допомога надається в медичному пункті тимчасового базування, створених взамін ФАП та ФП. На території Менської ТГ створе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но 19 медичних пунктів тимчасового базування,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резнянської ТГ  ‑ 3. Заклад обслуговує жителів Менської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 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ТГ. Кількість задекларованого населення безпосередньо у закладі ‑ 26833 осіб, що становить 94%.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Найбільшою проблемою в первинній меди</w:t>
      </w:r>
      <w:r>
        <w:rPr>
          <w:rFonts w:ascii="Times New Roman" w:eastAsia="Times New Roman" w:hAnsi="Times New Roman" w:cs="Times New Roman"/>
          <w:sz w:val="28"/>
          <w:szCs w:val="28"/>
        </w:rPr>
        <w:t>чній допомозі на даний час є дефіцит кваліфікованих кадрів, зокрема лікарів.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Протягом  2025 року КНП «Менська міська лікарня» працювала стабільно та забезпечувала необхідною спеціалізованою медичною допомогою населення Менської територіальної громади, а 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кож жителів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Сосницької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Коропської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Понорницької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громад, ВПО, військовослужбовців, тощо.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2025 рік підприємство заключило Договір з НСЗУ по 18 пакетах медичних послуг за ПМГ. Фінансування КНП «Менська міська лікарня» в 2025 році проводилося за рахунок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коштів Національної служби здоров’я України, коштів міського бюджету та коштів, отриманих з інших джерел позабюджетних надходжень. Оплата від НСЗУ за надані медичні послуги за програмою медичних гарантій є основним джерелом доходу КНП «Менська міська лікар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ня», яке складає 79,8 % від всіх доходів. В жовтні 2024 року за рахунок коштів Благодійної організації «Благодійний фонд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Репавер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Юкрейн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Фаундейшн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в сумі 1401,2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та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 місцевого бюджету в розмірі 10% вартості в сумі 270,0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лікарні встановлено сонячну електростанцію. Це дало змогу значно зменшити споживання електроенергії. За 9 місяців 2025 року в порівнянні з аналогічним періодом 2024 року споживання електроенергії зменшилося на 63,9 тис.кВт. Економія коштів по цінах стано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 на 01.10.2025 року складає близько 640,0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Соціальні послуги в Менській громаді надаються двома установами: Комунальною установою «Менський територіальний центр надання соціальних послуг» та Комунальною установою «Менський міський центр соціальних служб».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Територіальний центр обслуговує осіб похило</w:t>
      </w:r>
      <w:r>
        <w:rPr>
          <w:rFonts w:ascii="Times New Roman" w:eastAsia="Times New Roman" w:hAnsi="Times New Roman" w:cs="Times New Roman"/>
          <w:sz w:val="28"/>
          <w:szCs w:val="28"/>
        </w:rPr>
        <w:t>го віку, осіб з інвалідністю, хворих на невиліковні хвороби та тих, хто перебуває в складних життєвих обставинах через безробіття, стихійні лиха, збройні конфлікти або тимчасову окупацію. Центр працює з внутрішньо переміщеними особами та здійснює надання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уманітарної допомоги у співпраці з благодійними організаціями.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Менський територіальний центр надання соціальних послуг складається з наступних відділень: відділення соціальної допомоги вдома, відділення денного перебування, відділення організації надання 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дресної натуральної допомоги, відділення стаціонарного догляду для постійного або тимчасового проживання.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зв’язку з необхідністю поліпшення умов проживання та обслуговування осіб, які перебувають на стаціонарному догляді, є кілька важливих проблем, які п</w:t>
      </w:r>
      <w:r>
        <w:rPr>
          <w:rFonts w:ascii="Times New Roman" w:eastAsia="Times New Roman" w:hAnsi="Times New Roman" w:cs="Times New Roman"/>
          <w:sz w:val="28"/>
          <w:szCs w:val="28"/>
        </w:rPr>
        <w:t>отребують вирішення, зокрема необхідність реконструкції фасаду відділення стаціонарного догляду, потреба у капітальному ремонті кухні у відділенні стаціонарного догляду, придбання сучасного обладнання для кухні.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Комунальна установа «Менський міський центр </w:t>
      </w:r>
      <w:r>
        <w:rPr>
          <w:rFonts w:ascii="Times New Roman" w:eastAsia="Times New Roman" w:hAnsi="Times New Roman" w:cs="Times New Roman"/>
          <w:sz w:val="28"/>
          <w:szCs w:val="28"/>
        </w:rPr>
        <w:t>соціальних служб» Менської міської ради - установа, що проводить соціальну роботу з сім’ями/особами, які належать до вразливих груп населення та/або перебувають у складних життєвих обставинах і надає їм соціальні послуги; надає послуги з перевезення осіб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інвалідністю та дітей з інвалідністю з захворюваннями опорно-рухового апарату та іншими захворюваннями, які пересуваються за допомогою технічних засобів реабілітації та інших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 населення у разі, якщо такі особи не мають в особистому корис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туванні та в користуванні законних представників автомобілів. В установі є кілька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важливих проблем, що потребують вирішення для забезпечення доступності та комфортних умов для осіб з інвалідністю та інших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груп населення, а саме: необхідно про</w:t>
      </w:r>
      <w:r>
        <w:rPr>
          <w:rFonts w:ascii="Times New Roman" w:eastAsia="Times New Roman" w:hAnsi="Times New Roman" w:cs="Times New Roman"/>
          <w:sz w:val="28"/>
          <w:szCs w:val="28"/>
        </w:rPr>
        <w:t>вести реконструкцію входів, будівництво санвузлів і душових, створити “Кімнату кризового реагування” та придбати автомобіль для “Соціального таксі”.</w:t>
      </w:r>
    </w:p>
    <w:p w:rsidR="00551DB5" w:rsidRDefault="00AC649B">
      <w:pPr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 територіальному центрі станом на 1 жовтня 2025 року на обліку перебуває 2068 осіб, що потребую</w:t>
      </w:r>
      <w:r>
        <w:rPr>
          <w:rFonts w:ascii="Times New Roman" w:eastAsia="Times New Roman" w:hAnsi="Times New Roman" w:cs="Times New Roman"/>
          <w:sz w:val="28"/>
          <w:szCs w:val="28"/>
        </w:rPr>
        <w:t>ть соціального обслуговування, із них вже отримали соціальні послуги 1790 особа, ефективність соціального обслуговування становить 86,5%. За звітний період відділеннями територіального центру прийнято на облік 156 нових підопічних.</w:t>
      </w:r>
    </w:p>
    <w:p w:rsidR="00551DB5" w:rsidRDefault="00AC649B" w:rsidP="00DE0A7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Завдяки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ПРООН за посередництва ГО «Ліга соціальних працівників України» почав свою роботу Простір соціальної адаптації. На сьогодні більше 230 людей отримали групові послуги з арт терапії,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ниткографії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(що дозволяє розвивати дрібну моторику рук і стимулює мозков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та психічну активність, вдосконалює увагу, мислення, уяву, пам’ять, відчуття та сприймання, розвиває гнучкість та рухливість пальців), психологічного розвантаження,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кінотерапії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каністерапії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лекцій та тренінгів та інших видів і надано 71 індивідуальних </w:t>
      </w:r>
      <w:r>
        <w:rPr>
          <w:rFonts w:ascii="Times New Roman" w:eastAsia="Times New Roman" w:hAnsi="Times New Roman" w:cs="Times New Roman"/>
          <w:sz w:val="28"/>
          <w:szCs w:val="28"/>
        </w:rPr>
        <w:t>послуг (включаючи гарячу телефонну лінію) та проводяться раз на місяць заняття з комп’ютерної грамотності. За  звітний період у Просторі було проведено 99 заходів і надано близько 600 послуг та  здійснено 2 виїзди Мобільної групи соціальної адаптації у нас</w:t>
      </w:r>
      <w:r>
        <w:rPr>
          <w:rFonts w:ascii="Times New Roman" w:eastAsia="Times New Roman" w:hAnsi="Times New Roman" w:cs="Times New Roman"/>
          <w:sz w:val="28"/>
          <w:szCs w:val="28"/>
        </w:rPr>
        <w:t>елені пункти Менської громади  для роботи з ветеранами та їх сім’ями.</w:t>
      </w:r>
      <w:bookmarkStart w:id="1" w:name="_heading=h.2s4ugfxy30w"/>
      <w:bookmarkEnd w:id="1"/>
    </w:p>
    <w:p w:rsidR="00DE0A77" w:rsidRPr="00DE0A77" w:rsidRDefault="00DE0A77" w:rsidP="00DE0A7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51DB5" w:rsidRDefault="00AC649B">
      <w:pPr>
        <w:pStyle w:val="1"/>
        <w:keepNext w:val="0"/>
        <w:keepLines w:val="0"/>
        <w:spacing w:before="0" w:after="0"/>
        <w:ind w:left="2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hrax96zfe0ya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3. Земельні ресурси, сільське господарство, екологія</w:t>
      </w:r>
    </w:p>
    <w:p w:rsidR="00551DB5" w:rsidRDefault="00551DB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Практично вся територія Менської громади має ґрунтовий покрив, який характеризується опідзоленими ґрунтами переважно на лесових пор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одах та лучно-чорноземними ґрунтами. Унікальність ґрунтів полягає в їхній вологості завдяки сприятливому клімату (наявність малих річок та озер). Це дозволяє вести інтенсивне сільське господарство, сприяє вирощуванню різноманітних культур.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Наявність водних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(9% території громади) та лісових (3% території громади) ресурсів, відносне екологічне благополуччя створюють сприятливі умови для розвитку на теренах Менської громади сфери оздоровлення та рекреації. 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 громади 1026,1 км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з яких біля 78% - землі сільськогосподарського призначення, ліси займають - 9% території.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Також, на території громади знаходиться низка заповідників загальнодержавного та місцевого значення, а також пам’ятки природи та заповідні території місцевого значе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ння: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парк дендрологічного типу із системою ставків в селі Стольне;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зоологічний заказник національного значення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Комаретський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(515 га) та заказник місцевого значення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Чамарове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(572,6 га);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гідрологічні заказники місцевого значення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Блистівське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(400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га),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Киселівське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(162 га),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Конохове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(54 га), «Круча» (117 га), «Штани» (363 га), “Кут” (77,2 га);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ландшафтний заказник місцевого значення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Макошинський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(1060 га);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ландшафтний заказник місцевого значення «Лопата» (92 га);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заповідні території: уро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чища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Макошине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(126 га) та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Стольненське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(1075 га);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пам'ятки природи місцевого значення: урочища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Бурімка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 га) та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 га), озера «Тихе» (6 га),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Гайтан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(5 га),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Топильне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(10 га) та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Дягівські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зозуленці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(19,2 га).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 метою упорядкування відомостей про земельні ділянки і землекористувачів, вирішення питання забудови, планування і зонування, створення реального банку даних про ринок землі та покращення ситуації з охорони земель та природного навколишнього середовища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зроблено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Програму розвитку земельних відносин Менської міської територіальної громади на 2025-2027 роки.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боротьби з карантинним бур'яном амброзією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полинолистою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Програму боротьби з ним на 2024-2028 роки, спрямовану на зменшення негативного вп</w:t>
      </w:r>
      <w:r>
        <w:rPr>
          <w:rFonts w:ascii="Times New Roman" w:eastAsia="Times New Roman" w:hAnsi="Times New Roman" w:cs="Times New Roman"/>
          <w:sz w:val="28"/>
          <w:szCs w:val="28"/>
        </w:rPr>
        <w:t>ливу цього алергену.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127"/>
        </w:tabs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території Менської міської територіальної громади протікає 16 річок та налічується більше 50 площинних водних об’єктів (озера, ставки, водосховища, технологічні водойми).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 водного господарства та екологічного оздоро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влення малих річок та водойм на території Менської міської територіальної громади на 2025-2027 роки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передбачає реалізацію заходів щодо розчищення та упорядкування русел річок, облаштування та упорядкування прибережних захисних смуг, догляду за річками і дж</w:t>
      </w:r>
      <w:r>
        <w:rPr>
          <w:rFonts w:ascii="Times New Roman" w:eastAsia="Times New Roman" w:hAnsi="Times New Roman" w:cs="Times New Roman"/>
          <w:color w:val="000000"/>
          <w:sz w:val="28"/>
        </w:rPr>
        <w:t>ерелами, здійснення паспортизації водойм, створення водоохоронних зон та прибережних захисних смуг річок.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Останнім часом спостерігається інтенсивне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евтрофування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яке призводить до посилення процесів «цвітіння», заростання та замулення водних об’єктів. Чере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густі зарості водяної рослинності, зменшується проточність водного об'єкта, знижується вміст розчинного кисню у воді, що призводить до збіднення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біорізноманіття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водної екосистеми (гине риба та інші організми), призводить до забруднення місць відпочинку.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Найкращим варіантом боротьби із заростанням водних об’єктів, стане використання сучасної установки класу амфібії із додатковим обладнанням у комплекті (орієнтовна вартість установки 9,5 млн.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551DB5" w:rsidRDefault="00551DB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71pz5hezr3gb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Житлово-комунальна сфера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9tkzqsu546xn"/>
      <w:bookmarkEnd w:id="4"/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Менській громаді налічується 108 багатоквартирних будинків з 1834 квартирами, з яких 48 будинків знаходяться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округах.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Більша частина житлового фонду приватизована, але через старіння будівель виникає потреба у значних капіталовкладеннях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їх утримання та ремонту. У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40,982 км водопровідних мереж та 10,870 км каналізації, які обслуговує ТОВ «Менський комунальник». Окрім міста, централізоване водопостачання охоплює ще 8 населених пунктів громади. Проблемними залишаються деякі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мережі у селах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Величківка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Ліски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Бірківка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Слобідка. Загальна довжина водопровідної мережі в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становить 48,05 км, а каналізаційної мережі - 12,815 км. У Мені дві частини міста не забезпечені водою. Загалом у громаді налічується близько 17,6 ти</w:t>
      </w:r>
      <w:r>
        <w:rPr>
          <w:rFonts w:ascii="Times New Roman" w:eastAsia="Times New Roman" w:hAnsi="Times New Roman" w:cs="Times New Roman"/>
          <w:sz w:val="28"/>
          <w:szCs w:val="28"/>
        </w:rPr>
        <w:t>с. домогосподарств; 3,8 тис. забезпечуються централізованим водопостачанням (близько 22%) і близько 1,1 тис (6,3%) має каналізаційну систему.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Послуги водопостачання та водовідведення у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надає Комунальне підприємство «Менський комунальник», а в ін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ших населених пунктах КП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Менакомунпослуга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АТ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Укрзалізниця».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Розроблено та затверджено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проєктно-кошторисну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документацію «Реконструкція комплексу очисних споруд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який розташований за межами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Менської міської територіальної громади,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орюківського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району, Чернігівської області». В наступному році буде продовжена робота над залученням коштів для реалізації даного проекту.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Менська громада має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паспартизовані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сміттєзвалища (м.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6,1266 га,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1 га, с. Покровське — 1,5 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які обслуговуються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Менакомунпослуга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Вивезення відходів та послуги з утримання сміттєзвалищ забезпечуються цим підприємством. В даний час у місті знаходиться близько 416 контейнерів, у тому числі 108 для скла та 109 для ПЕТ. В усіх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</w:t>
      </w:r>
      <w:r>
        <w:rPr>
          <w:rFonts w:ascii="Times New Roman" w:eastAsia="Times New Roman" w:hAnsi="Times New Roman" w:cs="Times New Roman"/>
          <w:sz w:val="28"/>
          <w:szCs w:val="28"/>
        </w:rPr>
        <w:t>угах встановлені контейнери для скла та пластику. Планується реалізація  заходів включених до місцевого плану управління відходами  після затвердження обласного плану управління відходами.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даний час місто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опалюється частково централізованою системо</w:t>
      </w:r>
      <w:r>
        <w:rPr>
          <w:rFonts w:ascii="Times New Roman" w:eastAsia="Times New Roman" w:hAnsi="Times New Roman" w:cs="Times New Roman"/>
          <w:sz w:val="28"/>
          <w:szCs w:val="28"/>
        </w:rPr>
        <w:t>ю. Джерелами теплопостачання багатоквартирних будинків, підприємств та міських підрозділів обслуговування є 2 газові котельні компанії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Облтеплокомуненерго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Протяжність теплових мереж - 2,97 км. Індивідуальні опалювальні прилади застосовуються в односімей</w:t>
      </w:r>
      <w:r>
        <w:rPr>
          <w:rFonts w:ascii="Times New Roman" w:eastAsia="Times New Roman" w:hAnsi="Times New Roman" w:cs="Times New Roman"/>
          <w:sz w:val="28"/>
          <w:szCs w:val="28"/>
        </w:rPr>
        <w:t>них будинках.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Завдяки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енергетичної безпеки отримано твердопаливну блочно-модульну котельню для забезпечення резервного теплопостачання, в разі припинення газопостачання. У зимовий період ведеться підготовка техніки та заготівля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посипкових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матеріа</w:t>
      </w:r>
      <w:r>
        <w:rPr>
          <w:rFonts w:ascii="Times New Roman" w:eastAsia="Times New Roman" w:hAnsi="Times New Roman" w:cs="Times New Roman"/>
          <w:sz w:val="28"/>
          <w:szCs w:val="28"/>
        </w:rPr>
        <w:t>лів для ефективного реагування на негоду.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Необхідно продовжити роботи з покращення інфраструктури, а саме встановленням СЕС, упорядкування кладовищ, (розпочато підготовку території для нового кладовища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з Генеральним планом міста), впорядку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вання місць видалення ТПВ і ремонту доріг у громаді, зокрема провести капітальний ремонт асфальтованих доріг та тротуарів, заміна аварійних відрізків водогону та каналізаційної мережі по місту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інших населених пунктів.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51DB5" w:rsidRDefault="00AC649B">
      <w:pPr>
        <w:pStyle w:val="1"/>
        <w:keepNext w:val="0"/>
        <w:keepLines w:val="0"/>
        <w:spacing w:before="0" w:after="0"/>
        <w:ind w:left="2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kakd8z97ghnw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5. Містобудування та архітект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ура</w:t>
      </w:r>
    </w:p>
    <w:p w:rsidR="00551DB5" w:rsidRDefault="00551DB5">
      <w:pPr>
        <w:ind w:firstLine="56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Генеральні плани та плани зонування наявні тільки для 4 населених пунктів, а саме: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села Покровське,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Блистова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Дерепівка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Разом з тим, є інша містобудівна документація уточнюючого характеру - детальні плани території  12 шт. Влітку 2024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 розпочата розробка Комплексного плану просторового розвитку території громади (підготовчого етапу виконання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робіт). Здійснено збір вихідних даних та затверджено завдання на проектування Комплексного плану просторового розвитку території Менської місь</w:t>
      </w:r>
      <w:r>
        <w:rPr>
          <w:rFonts w:ascii="Times New Roman" w:eastAsia="Times New Roman" w:hAnsi="Times New Roman" w:cs="Times New Roman"/>
          <w:sz w:val="28"/>
          <w:szCs w:val="28"/>
        </w:rPr>
        <w:t>кої територіальної громади.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Проведені інженерно-геодезичні вишукування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топозйомки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15 населених пунктів, в т.ч. з них 7 - 2021 року виготовлення (М 1:2000).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Найбільш розповсюдженими послугами у сфері містобудування в г</w:t>
      </w:r>
      <w:r>
        <w:rPr>
          <w:rFonts w:ascii="Times New Roman" w:eastAsia="Times New Roman" w:hAnsi="Times New Roman" w:cs="Times New Roman"/>
          <w:sz w:val="28"/>
          <w:szCs w:val="28"/>
        </w:rPr>
        <w:t>ромаді є надання витягів з містобудівної документації, викопіювань з топографо-геодезичних планів, а також містобудівних умов і обмежень об’єкту будівництва. Переважно, містобудівні послуги отримуються в паперовій формі через ЦНАП або уповноважених працівн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иків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округах. 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проблема відсутності містобудівної документації в повному обсязі, що в свою чергу тягне затримки або неможливість нового будівництва (реконструкцій тощо) та залучення інвестицій.</w:t>
      </w:r>
    </w:p>
    <w:p w:rsidR="00551DB5" w:rsidRDefault="00AC649B" w:rsidP="00DE0A77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Внаслідок збройної агресії російської федерації проти України в Менській  громаді зафіксовано руйнування/пошкодження об’єктів житлової та соціальної сфери. Станом на 01 листопада 2025 року в Менській міській територіальній громаді пошкоджено 6 житлових об’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єктів (4 приватних та 2 багатоповерхових житлові будинки). Дані об’єкти мають руйнування, але придатні до проживання. Відновлення таких будинків здійснюється за рахунок коштів власників майна та благодійних організацій. Також пошкоджень зазнали 2 об’єкти 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оціальної сфери, зокрема один заклад культури та одна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адмінбудівля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В територіальній  громаді створена та працює  комісія з розгляду питань надання компенсації за пошкоджені об’єкти нерухомого майна з використанням електронної публічної послуги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єВідновлен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». Заяви на розгляд комісії для отримання компенсації за пошкоджене майно не надходили.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6. Дорожньо-транспортна інфраструктура та зв'язок</w:t>
      </w:r>
    </w:p>
    <w:p w:rsidR="00DE0A77" w:rsidRPr="00DE0A77" w:rsidRDefault="00DE0A7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51DB5" w:rsidRDefault="00AC64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Транспортно-логістична інфраструктура Менської громади здійснюються  автомобільним і залізничним тран</w:t>
      </w:r>
      <w:r>
        <w:rPr>
          <w:rFonts w:ascii="Times New Roman" w:eastAsia="Times New Roman" w:hAnsi="Times New Roman" w:cs="Times New Roman"/>
          <w:sz w:val="28"/>
          <w:szCs w:val="28"/>
        </w:rPr>
        <w:t>спортом та забезпечує зв’язок між 39 населеними пунктами.   У громаді  розгалужена мережа автомобільних доріг:</w:t>
      </w:r>
    </w:p>
    <w:p w:rsidR="00551DB5" w:rsidRDefault="00AC649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Національна автомобільна дорога загального користування державного 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Чернігів-Мена-Сосниця-Грем'яч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Н-27  протяжністю 39,1 км. Відстань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аеропорту «Бориспіль» - 219 км. </w:t>
      </w:r>
    </w:p>
    <w:p w:rsidR="00551DB5" w:rsidRDefault="00AC649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2)Територіальні  автомобільні дороги загального користування державного значення;</w:t>
      </w:r>
    </w:p>
    <w:p w:rsidR="00551DB5" w:rsidRDefault="00AC649B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3)Обласні автомобільні  дороги загального користування;</w:t>
      </w:r>
    </w:p>
    <w:p w:rsidR="00551DB5" w:rsidRDefault="00AC64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4)Районні автомобільні дороги загального користування.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громади залишається проб</w:t>
      </w:r>
      <w:r>
        <w:rPr>
          <w:rFonts w:ascii="Times New Roman" w:eastAsia="Times New Roman" w:hAnsi="Times New Roman" w:cs="Times New Roman"/>
          <w:sz w:val="28"/>
          <w:szCs w:val="28"/>
        </w:rPr>
        <w:t>лемою незадовільний стан доріг державного та місцевого значення, що потребує значних капіталовкладень. Якість доріг різна, найпроблемніша – між селами громади.</w:t>
      </w:r>
    </w:p>
    <w:p w:rsidR="00551DB5" w:rsidRDefault="00AC649B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розташована залізнична станція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проміжна </w:t>
      </w:r>
      <w:hyperlink r:id="rId9" w:tooltip="https://uk.wikipedia.org/wiki/%D0%97%D0%B0%D0%BB%D1%96%D0%B7%D0%BD%D0%B8%D1%87%D0%BD%D0%B0_%D1%81%D1%82%D0%B0%D0%BD%D1%86%D1%96%D1%8F" w:history="1">
        <w:r>
          <w:rPr>
            <w:rFonts w:ascii="Times New Roman" w:eastAsia="Times New Roman" w:hAnsi="Times New Roman" w:cs="Times New Roman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алізнична станція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4 класу </w:t>
      </w:r>
      <w:hyperlink r:id="rId10" w:tooltip="https://uk.wikipedia.org/wiki/%D0%9A%D0%BE%D0%BD%D0%BE%D1%82%D0%BE%D0%BF%D1%81%D1%8C%D0%BA%D0%B0_%D0%B4%D0%B8%D1%80%D0%B5%D0%BA%D1%86%D1%96%D1%8F_%D0%B7%D0%B0%D0%BB%D1%96%D0%B7%D0%BD%D0%B8%D1%87%D0%BD%D0%B8%D1%85_%D0%BF%D0%B5%D1%80%D0%B5%D0%B2%D0%B5%D0%B7%D0%B" w:history="1">
        <w:r>
          <w:rPr>
            <w:rFonts w:ascii="Times New Roman" w:eastAsia="Times New Roman" w:hAnsi="Times New Roman" w:cs="Times New Roman"/>
            <w:sz w:val="28"/>
            <w:szCs w:val="28"/>
          </w:rPr>
          <w:t>Конотопської дирекції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ooltip="https://uk.wikipedia.org/wiki/%D0%9F%D1%96%D0%B2%D0%B4%D0%B5%D0%BD%D0%BD%D0%BE-%D0%97%D0%B0%D1%85%D1%96%D0%B4%D0%BD%D0%B0_%D0%B7%D0%B0%D0%BB%D1%96%D0%B7%D0%BD%D0%B8%D1%86%D1%8F" w:history="1">
        <w:r>
          <w:rPr>
            <w:rFonts w:ascii="Times New Roman" w:eastAsia="Times New Roman" w:hAnsi="Times New Roman" w:cs="Times New Roman"/>
            <w:sz w:val="28"/>
            <w:szCs w:val="28"/>
          </w:rPr>
          <w:t>Південно-західної залізниці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через яку щоденн</w:t>
      </w:r>
      <w:r>
        <w:rPr>
          <w:rFonts w:ascii="Times New Roman" w:eastAsia="Times New Roman" w:hAnsi="Times New Roman" w:cs="Times New Roman"/>
          <w:sz w:val="28"/>
          <w:szCs w:val="28"/>
        </w:rPr>
        <w:t>о курсує пасажирський приміський потяг №6501/03 сполученням  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Бахмач-Сновськ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та потяг №6502/04 сполученням 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Сновськ-Бахмач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551DB5" w:rsidRDefault="00AC64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Завдяки зручному транспортному розташуванню  організовані регулярні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внутрішньообласні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автобусні маршрути та маршрутні сполученн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я, що забезпечують пасажирські перевезення мешканців до адміністративного центру міста Чернігова та сусідніх громад. Однак, без автобусного сполучення залишаються малочисельні та віддалені від головних трас села Менської громади, пасажиропотік на яких є 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низьким, а обслуговування цих маршрутів є збитковим для перевізників. </w:t>
      </w:r>
    </w:p>
    <w:p w:rsidR="00551DB5" w:rsidRDefault="00AC64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Громадський транспорт представлений автобусним пасажирським перевезенням по місту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такими маршрутами:</w:t>
      </w:r>
    </w:p>
    <w:p w:rsidR="00551DB5" w:rsidRDefault="00AC649B">
      <w:pPr>
        <w:spacing w:line="276" w:lineRule="auto"/>
        <w:ind w:right="28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     маршрут № 1 - вул. Михайла Грушевського  – вул. Сіверський шлях,</w:t>
      </w:r>
    </w:p>
    <w:p w:rsidR="00551DB5" w:rsidRDefault="00AC649B">
      <w:pPr>
        <w:spacing w:line="276" w:lineRule="auto"/>
        <w:ind w:right="280"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     маршрут № 2 - вул. Григорія Кочура – вул. Сіверський шлях.</w:t>
      </w:r>
    </w:p>
    <w:p w:rsidR="00551DB5" w:rsidRDefault="00AC649B">
      <w:pPr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сфері зв’язку на території громади послуги щодо приймання платежів, передплату  періодичних друкованих видан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виплату пенсій, доставку кореспонденції надають мобільні  пересувні  відділення поштового зв’язку філії Чернігівської дирекції ПАТ «Укрпошта» та  1 стаціонарне  відділення  поштового зв’язку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Основними операторами мобільного  зв'язку на територі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 району  є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ПРАТ “КИЇВСТАР”,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«ВФ Україна» та 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Лайфселл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території Менської громади діють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інтернет-провайдери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серед  них ТОВ “СМАРТ.КОМ”, АТ “Укртелеком”,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ТОВ “НПК “ХОУМ-НЕТ”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обслуговують як місто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так і сільські райони громади, заб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езпечуючи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інтернетом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навчальні заклади та приватний сектор.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7. Цивільний захист</w:t>
      </w:r>
    </w:p>
    <w:p w:rsidR="00DE0A77" w:rsidRPr="00DE0A77" w:rsidRDefault="00DE0A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51DB5" w:rsidRDefault="00AC649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Територію Менської ТГ  обслуговує 4 дільничних офіцерів поліції сектору превенції відділення поліції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Корюківського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РВП ГУНП в Чернігівській області. Між дільничними офіцерами та керівництвом ТГ, працівниками підприємств, організацій та старостами налаг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оджена співпраця. </w:t>
      </w:r>
    </w:p>
    <w:p w:rsidR="00551DB5" w:rsidRDefault="00AC649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Пожежна охорона Менської міськради складається з чотирьох місцевих пожежних команд (МПК): в селищі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Макошине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селах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Бірківці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Семенівці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Дягові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Загальна кількість особового складу 22 особи: директор КУ, бухгалтер, 16 водіїв і четверо </w:t>
      </w:r>
      <w:r>
        <w:rPr>
          <w:rFonts w:ascii="Times New Roman" w:eastAsia="Times New Roman" w:hAnsi="Times New Roman" w:cs="Times New Roman"/>
          <w:sz w:val="28"/>
          <w:szCs w:val="28"/>
        </w:rPr>
        <w:t>пожежних. На бойове чергування щоденно заступають п’ять працівників та чотири пожежні автомобілі комунальної установи. Існує необхідність забезпечення місцевої КУ необхідним обладнанням та матеріалами.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01.10.2025 року на території громади обліков</w:t>
      </w:r>
      <w:r>
        <w:rPr>
          <w:rFonts w:ascii="Times New Roman" w:eastAsia="Times New Roman" w:hAnsi="Times New Roman" w:cs="Times New Roman"/>
          <w:sz w:val="28"/>
          <w:szCs w:val="28"/>
        </w:rPr>
        <w:t>ується 20 протирадіаційних укриттів та 40 найпростіших укриттів загальною місткістю 4191 особа. Враховуючи, що чисельність населення громади станом на 01.01.2024 року складає 24323 осіб, потреба в укритті цивільного населення становить 20132 осіб або 82,8%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жителів громади.</w:t>
      </w:r>
    </w:p>
    <w:p w:rsidR="00551DB5" w:rsidRDefault="00551DB5">
      <w:pPr>
        <w:ind w:firstLine="56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8.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Освітня сфера</w:t>
      </w:r>
    </w:p>
    <w:p w:rsidR="00551DB5" w:rsidRDefault="00AC649B">
      <w:pPr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На початок 2025/2026 навчального року в підпорядкуванні Відділу освіти Менської міської ради перебуває 28 закладів освіти (філій) комунальної форми власності та 1 комунальна установа, з них: 9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акладів загальної середньої освіти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зі статусом юридичної особи та 1 філія І-ІІ ступенів у складі Опорного закладу Менська гімназія та 2 філії у складі Менського ОЗЗСО І-ІІІ ступенів ім. Т.Г.Шевченка, де діти здобувають базову середню освіту. В закладах заг</w:t>
      </w:r>
      <w:r>
        <w:rPr>
          <w:rFonts w:ascii="Times New Roman" w:eastAsia="Times New Roman" w:hAnsi="Times New Roman" w:cs="Times New Roman"/>
          <w:sz w:val="28"/>
          <w:szCs w:val="28"/>
        </w:rPr>
        <w:t>альної середньої освіти навчається 212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учні (місто-14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, село-64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10 закладів дошкільної освіти, 3 філії та 1 дошкільний структурний підрозділ у складі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Волосківської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гімназії (в яких виховується 419 дошкільнят, з них в місті - 224, селі - 195), 2 заклад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позашкільної освіти (Комунальний заклад позашкільної освіти Центр дитячої та юнацької творчості Менської міської ради, Комунальний заклад позашкільної освіти Менська дитячо-юнацька спортивна школа Менської міської ради),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Степанівський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МНВК та Менський ІР</w:t>
      </w:r>
      <w:r>
        <w:rPr>
          <w:rFonts w:ascii="Times New Roman" w:eastAsia="Times New Roman" w:hAnsi="Times New Roman" w:cs="Times New Roman"/>
          <w:sz w:val="28"/>
          <w:szCs w:val="28"/>
        </w:rPr>
        <w:t>Ц.</w:t>
      </w:r>
    </w:p>
    <w:p w:rsidR="00551DB5" w:rsidRDefault="00AC649B">
      <w:pPr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умовах воєнного стану посилені вимоги щодо забезпечення безпечних умов перебування дітей в закладах освіти. В режимі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можуть працювати лише ті заклади освіти, що мають споруди цивільного захисту (найпростіші укриття, ПРУ, споруди подвійного призначення).</w:t>
      </w:r>
    </w:p>
    <w:p w:rsidR="00551DB5" w:rsidRDefault="00AC64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Крім цього для 6 закладів освіти вкрай потрібне придбання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Швидкоспоруджувальних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захисних споруд цивільного зах</w:t>
      </w:r>
      <w:r>
        <w:rPr>
          <w:rFonts w:ascii="Times New Roman" w:eastAsia="Times New Roman" w:hAnsi="Times New Roman" w:cs="Times New Roman"/>
          <w:sz w:val="28"/>
          <w:szCs w:val="28"/>
        </w:rPr>
        <w:t>исту модульного типу» - 3 ЗДО, 3 ЗЗСО), на які (в цінах на вересень 2024 року) потрібні кошти в сумі 20700 млн. грн. Наразі дана сума вже значно вища.</w:t>
      </w:r>
    </w:p>
    <w:p w:rsidR="00551DB5" w:rsidRDefault="00AC64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Продовжує залишатися нагальною потребою будівництво власного протирадіаційного укриття (на 500 місць)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Менського опорного закладу загальної середньої освіти І-ІІІ ступенів ім. Т.Г.Шевченка (в закладі освіти навчається 776 учнів (без врахування філій); заклад має 2 власні ПРУ, що розраховані сумарно на 330 місць та використовує ПРУ іншої організації). 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дено коригування ПКД, вартість робіт по будівництву ПРУ становить 95341,056 тис. грн.. Проект внесено до державної цифрової екосистеми  DREAM, триває пошук відповідного фінансування.</w:t>
      </w:r>
    </w:p>
    <w:p w:rsidR="00551DB5" w:rsidRDefault="00AC64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Є нагальна потреба 3-х фазному генераторі  30-40 кВт для роботи харчоблок</w:t>
      </w:r>
      <w:r>
        <w:rPr>
          <w:rFonts w:ascii="Times New Roman" w:eastAsia="Times New Roman" w:hAnsi="Times New Roman" w:cs="Times New Roman"/>
          <w:sz w:val="28"/>
          <w:szCs w:val="28"/>
        </w:rPr>
        <w:t>а Опорного закладу Менська гімназія.</w:t>
      </w:r>
    </w:p>
    <w:p w:rsidR="00551DB5" w:rsidRDefault="00551DB5">
      <w:pPr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2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туризм та молодіжн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 напрямок</w:t>
      </w:r>
    </w:p>
    <w:p w:rsidR="00DE0A77" w:rsidRPr="00DE0A77" w:rsidRDefault="00DE0A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2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Культурне обслуговування населення громади здійснюють 4 комунальні заклади культури: КЗ “Менський будинок культури” та 24 сільських філій, КЗ “Центр культури та дозвілля молоді”, КЗ “Менський краєзнавчий музей ім. В.Ф. Покотила”, КЗ “Менська публічна біблі</w:t>
      </w:r>
      <w:r>
        <w:rPr>
          <w:rFonts w:ascii="Times New Roman" w:eastAsia="Times New Roman" w:hAnsi="Times New Roman" w:cs="Times New Roman"/>
          <w:sz w:val="28"/>
          <w:szCs w:val="28"/>
        </w:rPr>
        <w:t>отека” та 24 сільські філії, КЗ “Менська школа мистецтв”. Мережа закладів культури в громаді відповідає всім нормативним вимогам та забезпечує надання базового набору культурних послуг.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молоді в приміщенні КЗ “Центр культури та дозвілля молоді”  працюю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два молодіжні простори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</w:rPr>
        <w:t>Ko_laba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“</w:t>
      </w:r>
      <w:r>
        <w:rPr>
          <w:rFonts w:ascii="Times New Roman" w:eastAsia="Times New Roman" w:hAnsi="Times New Roman" w:cs="Times New Roman"/>
          <w:color w:val="000000"/>
          <w:sz w:val="28"/>
        </w:rPr>
        <w:t>FREEDOM SPACE”.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Всі заклади культури працюють в повному форматі із дещо зміненим графіком роботи. В зв’язку із забороною проведення масових заходів, деякі з них проводяться в режимі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збільшення комфо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рту для користувачів культурних послуг, для зменшення витрат на енергоносії та подовження терміну експлуатації будівель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ряд закладів культури потребують проведення в них як зовнішніх, так і внутрішніх ремонтів.</w:t>
      </w:r>
    </w:p>
    <w:p w:rsidR="00551DB5" w:rsidRDefault="00AC649B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Тому до пріоритетних об’єктів, які доцільно ф</w:t>
      </w:r>
      <w:r>
        <w:rPr>
          <w:rFonts w:ascii="Times New Roman" w:eastAsia="Times New Roman" w:hAnsi="Times New Roman" w:cs="Times New Roman"/>
          <w:sz w:val="28"/>
          <w:szCs w:val="28"/>
        </w:rPr>
        <w:t>інансувати із залученням коштів державного, місцевих бюджетів, коштів інвесторів та благодійної допомоги у 2026 році, внесено ті заклади культури, які першочергово потребують ремонтів та придбання технічних засобів для повноцінного їх функціонування.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45"/>
        </w:tabs>
        <w:ind w:left="2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30j0zll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ифровізація</w:t>
      </w:r>
      <w:proofErr w:type="spellEnd"/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45"/>
        </w:tabs>
        <w:ind w:left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7" w:name="_heading=h.t6wrii90159w"/>
      <w:bookmarkEnd w:id="7"/>
    </w:p>
    <w:p w:rsidR="00551DB5" w:rsidRDefault="00AC649B">
      <w:pPr>
        <w:tabs>
          <w:tab w:val="left" w:pos="545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Менська міська рада продовжує системно працювати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публічних послуг та удосконаленням внутрішньої роботи органів місцевого самоврядування. Створюється єдин</w:t>
      </w:r>
      <w:r>
        <w:rPr>
          <w:rFonts w:ascii="Times New Roman" w:eastAsia="Times New Roman" w:hAnsi="Times New Roman" w:cs="Times New Roman"/>
          <w:sz w:val="28"/>
          <w:szCs w:val="28"/>
        </w:rPr>
        <w:t>ий інформаційно-телекомунікаційний простір публічного управління, що включає впровадження елементів телекомунікаційної та інформаційної інфраструктури, засобів інформатизації, інструментів електронного урядування, електронної демократії та інших сучасних і</w:t>
      </w:r>
      <w:r>
        <w:rPr>
          <w:rFonts w:ascii="Times New Roman" w:eastAsia="Times New Roman" w:hAnsi="Times New Roman" w:cs="Times New Roman"/>
          <w:sz w:val="28"/>
          <w:szCs w:val="28"/>
        </w:rPr>
        <w:t>нформаційно-комп'ютерних технологій.</w:t>
      </w:r>
    </w:p>
    <w:p w:rsidR="00551DB5" w:rsidRDefault="00AC649B">
      <w:pPr>
        <w:tabs>
          <w:tab w:val="left" w:pos="545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чотирьох років в органах місцевого самоврядування громади, комунальних підприємствах, установах і організаціях активно використовується система електронного документообігу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ТDoc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2.0. Це дозволило значно пришвидш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ити та покращити процес опрацювання документів, зменшити використання паперу, а також оптимізувати управлінські процеси. У співпраці з обласними структурами Чернігівської ОВА, що займаються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створено багатофункціональну систему для організаці</w:t>
      </w:r>
      <w:r>
        <w:rPr>
          <w:rFonts w:ascii="Times New Roman" w:eastAsia="Times New Roman" w:hAnsi="Times New Roman" w:cs="Times New Roman"/>
          <w:sz w:val="28"/>
          <w:szCs w:val="28"/>
        </w:rPr>
        <w:t>ї обігу вхідної та вихідної документації, контролю за виконанням завдань.</w:t>
      </w:r>
    </w:p>
    <w:p w:rsidR="00551DB5" w:rsidRDefault="00AC649B">
      <w:pPr>
        <w:tabs>
          <w:tab w:val="left" w:pos="545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dbuhtg7sr7t4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Менська громада прагне стати регіональним лідером у сфері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публічних послуг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забезпечуючи надійний захист даних, безпеку мешканців та критичної інфраструк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тури громади. В наступному році є потреба в продовженні реалізації проектів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оновленню техніки на робочих місцях. </w:t>
      </w:r>
    </w:p>
    <w:p w:rsidR="00551DB5" w:rsidRDefault="00AC649B">
      <w:pPr>
        <w:tabs>
          <w:tab w:val="left" w:pos="545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Надання адміністративних послуг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Відділом «Центр надання адміністративних послуг» Менської міської ради протягом 10 місяців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2025 року надано 28170 адміністративних послуг, в тому числі на віддалених робочих місцях фахівців ЦНАП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округах 9121 адміністративна послуга.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Найбільшими викликами року стали нестабільний доступ до державних реєстрів, впровадження законо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давчих новацій. ЦНАП швидко реагує на ці виклики та пристосовує надання послуг відповідно до нових умов.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цьому допомагає розширення можливостей, які пропонує портал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застосунок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Дія.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Завдячуючи енергонезалежності Менський ЦНАП постійно надає послуги,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навіть під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блек-аутів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Попитом у відділі ЦНАП користується місце самообслуговування громадян, яким у 2025 році скористались близько 593 громадян та отримали 1153 послуги.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обслуговування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груп населення відділ ЦНАП використовує «Мобільну валізку». За 10 місяців 2025 року було здійснено 33 виїзди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жителів громади, яким надано 65 адміністративних послуг.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якості міжнародної технічної допомоги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Менській міській раді було передано автомобіль «Мобільний ЦНАП» для надання адміністративних послуг у віддалених населених пунктах громади або при великій завантаженості фахівця на ВРМ. За 10 місяців 2025 року на пересувному віддаленому робочому місці адм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іністратора типу «Мобільний ЦНАП» надано 909 адміністративних послуг.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Особливу увагу спрямували питанню надання зручних, дієвих та швидких адміністративних послуг ветеранам війни, учасникам бойових дій та членам їх сімей.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За звітний рік через відділ отри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мали статус внутрішньо переміщених осіб 145 громадян.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 питань державної реєстрації права власності речових прав на нерухоме майно та надання інформації з Державного реєстру речових прав на нерухоме майно опрацьовано 8203 звернення, надано 936 послуг держ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авного земельного кадастру, прийнято 56 звернень за адміністративними послугами щодо виконання підготовчих та будівельних робіт і прийняття в експлуатацію закінчених будівництвом об'єктів.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8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2025 році  218 громадян отримали паспорт у формі ID-картки або закордонний паспорт у Менському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ЦНАПі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фасаді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встановили Wi-Fi точку доступу, завдяки чому мешканці та гості міста мають змогу користуватися безкоштовним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інтернетом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радіусі 200 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трів від будівлі.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покращення якості надання адміністративних послуг населенню працівники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постійно підвищують професійний рівень та цифрові навички.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DB5" w:rsidRDefault="00AC64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Для безперебійної роботи відділу ЦНАП щодо надання якісних та доступних адміністративн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их послуг є такі потреби. Для сонячної електростанції, яка знаходиться в приміщення ЦНАП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небхідність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придбати комплект акумуляторних батареї ємністю 20 КВт/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придбати 10 нових БФП, для заміни існуючих БФП марки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Xerox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які мають більше ресурс роботи </w:t>
      </w:r>
      <w:r>
        <w:rPr>
          <w:rFonts w:ascii="Times New Roman" w:eastAsia="Times New Roman" w:hAnsi="Times New Roman" w:cs="Times New Roman"/>
          <w:color w:val="000000"/>
          <w:sz w:val="28"/>
        </w:rPr>
        <w:t>пристрою та більший термін експлуатації картриджів між перезарядками.  </w:t>
      </w:r>
    </w:p>
    <w:p w:rsidR="00DE0A77" w:rsidRPr="00DE0A77" w:rsidRDefault="00DE0A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lang w:val="uk-UA"/>
        </w:rPr>
      </w:pPr>
    </w:p>
    <w:p w:rsidR="00551DB5" w:rsidRDefault="00AC649B" w:rsidP="00DE0A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45"/>
        </w:tabs>
        <w:ind w:left="21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x3ajy0t3pqiy"/>
      <w:bookmarkStart w:id="10" w:name="_heading=h.7slc66ku7ojd"/>
      <w:bookmarkEnd w:id="9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Фізична культура і спорт</w:t>
      </w:r>
    </w:p>
    <w:p w:rsidR="00551DB5" w:rsidRDefault="00551DB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напрямками фізкультурно-оздоровчої роботи в Менській громаді є:</w:t>
      </w:r>
    </w:p>
    <w:p w:rsidR="00551DB5" w:rsidRDefault="00AC649B">
      <w:pPr>
        <w:numPr>
          <w:ilvl w:val="0"/>
          <w:numId w:val="2"/>
        </w:numPr>
        <w:ind w:left="0"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збереження та розвиток існуючої мережі фізкультурно-оздоровчих закладів, доступних для населення;</w:t>
      </w:r>
    </w:p>
    <w:p w:rsidR="00551DB5" w:rsidRDefault="00AC649B">
      <w:pPr>
        <w:numPr>
          <w:ilvl w:val="0"/>
          <w:numId w:val="2"/>
        </w:numPr>
        <w:ind w:left="0"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поліпшення матеріально-побутової бази для занять фізичною культурою і спортом;</w:t>
      </w:r>
    </w:p>
    <w:p w:rsidR="00551DB5" w:rsidRDefault="00AC649B">
      <w:pPr>
        <w:numPr>
          <w:ilvl w:val="0"/>
          <w:numId w:val="2"/>
        </w:numPr>
        <w:ind w:left="0"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залучення дітей до занять у дитячо-юнацьких спортивних школах.</w:t>
      </w:r>
    </w:p>
    <w:p w:rsidR="00551DB5" w:rsidRDefault="00AC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Ключовим закладо</w:t>
      </w:r>
      <w:r>
        <w:rPr>
          <w:rFonts w:ascii="Times New Roman" w:eastAsia="Times New Roman" w:hAnsi="Times New Roman" w:cs="Times New Roman"/>
          <w:sz w:val="28"/>
          <w:szCs w:val="28"/>
        </w:rPr>
        <w:t>м спортивного призначення у Менській територіальній громаді є комунальний заклад позашкільної освіти “Менська дитячо-юнацька спортивна школа”. Кількість відвідувачів закладу в середньому становить близько 160 осіб за рік, завантаженість закладу - 40%. У шк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олі діють секції баскетболу, вільної боротьби,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пауерліфтингу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легкої атлетики та футболу. Також діють два спортивно-оздоровчі клуби (в т. ч. для людей пенсійного віку) та фітнес-клуб “GYM”.</w:t>
      </w:r>
    </w:p>
    <w:p w:rsidR="00551DB5" w:rsidRDefault="00AC649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Загалом у громаді нараховується більше 70 об'єктів спортивної інфр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аструктури, зокрема, 9 шкільних спортивних залів та 18 спортивних майданчиків, які перебувають у задовільному стані. Також в громаді існують 2 спортивні зали загального користування: в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поруч із центральним стадіоном та в селищі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Макошине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приміщ</w:t>
      </w:r>
      <w:r>
        <w:rPr>
          <w:rFonts w:ascii="Times New Roman" w:eastAsia="Times New Roman" w:hAnsi="Times New Roman" w:cs="Times New Roman"/>
          <w:sz w:val="28"/>
          <w:szCs w:val="28"/>
        </w:rPr>
        <w:t>енні будинку культури. Поблизу 2 міських шкіл побудовано сучасні спортивні майданчики: футбольне поле зі штучним покриттям та багатофункціональний спортивний майданчик для 4 спортивних дисциплін. Обидва шкільні майданчики та частина шкільних спортивних зал</w:t>
      </w:r>
      <w:r>
        <w:rPr>
          <w:rFonts w:ascii="Times New Roman" w:eastAsia="Times New Roman" w:hAnsi="Times New Roman" w:cs="Times New Roman"/>
          <w:sz w:val="28"/>
          <w:szCs w:val="28"/>
        </w:rPr>
        <w:t>ів доступні також мешканцям та мешканкам громади.</w:t>
      </w:r>
    </w:p>
    <w:p w:rsidR="00551DB5" w:rsidRDefault="00AC649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стадіон, на якому проводяться місцеві, районні та обласні змагання, потребує ремонтних робіт та не відповідає сучасним вимогам (існує необхідність в його модернізації). Також є потреба в придбанні т</w:t>
      </w:r>
      <w:r>
        <w:rPr>
          <w:rFonts w:ascii="Times New Roman" w:eastAsia="Times New Roman" w:hAnsi="Times New Roman" w:cs="Times New Roman"/>
          <w:sz w:val="28"/>
          <w:szCs w:val="28"/>
        </w:rPr>
        <w:t>а встановленні футбольних майданчиків із штучним покриттям та багатофункціональних спортивних майданчиків.</w:t>
      </w:r>
    </w:p>
    <w:p w:rsidR="00551DB5" w:rsidRDefault="00551DB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ІІ. ДЖЕРЕЛА ФІНАНСУВАННЯ ПРОГРАМИ</w:t>
      </w:r>
    </w:p>
    <w:p w:rsidR="00DE0A77" w:rsidRPr="00DE0A77" w:rsidRDefault="00DE0A7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bookmarkStart w:id="11" w:name="_GoBack"/>
      <w:bookmarkEnd w:id="11"/>
    </w:p>
    <w:p w:rsidR="00551DB5" w:rsidRDefault="00AC649B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Фінансове забезпечення реалізації завдань і заходів Програми буде здійснюватися за рахунок державного, обласного, бюджету Менської міської територіальної громади, коштів суб’єктів господарювання, вітчизняних та іноземних інвесторів, міжнародних фінансових </w:t>
      </w:r>
      <w:r>
        <w:rPr>
          <w:rFonts w:ascii="Times New Roman" w:eastAsia="Times New Roman" w:hAnsi="Times New Roman" w:cs="Times New Roman"/>
          <w:sz w:val="27"/>
          <w:szCs w:val="27"/>
        </w:rPr>
        <w:t>організацій, кредитів банків, залучених коштів населення, а також коштів інших джерел, не заборонених чинним законодавством.</w:t>
      </w:r>
    </w:p>
    <w:p w:rsidR="00551DB5" w:rsidRDefault="00AC649B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Обсяг фінансування заходів, спрямованих на виконання Програми, передбачається у бюджеті Менської міської територіальної громади за </w:t>
      </w:r>
      <w:r>
        <w:rPr>
          <w:rFonts w:ascii="Times New Roman" w:eastAsia="Times New Roman" w:hAnsi="Times New Roman" w:cs="Times New Roman"/>
          <w:sz w:val="27"/>
          <w:szCs w:val="27"/>
        </w:rPr>
        <w:t>відповідними програмами, у межах наявного фінансового ресурсу.</w:t>
      </w:r>
    </w:p>
    <w:p w:rsidR="00551DB5" w:rsidRDefault="00551DB5">
      <w:pPr>
        <w:ind w:firstLine="56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51DB5" w:rsidRDefault="00AC649B">
      <w:pPr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ІІІ. МОНІТОРИНГ ТА ОЦІНКА РЕЗУЛЬТАТИВНОСТІ </w:t>
      </w:r>
    </w:p>
    <w:p w:rsidR="00551DB5" w:rsidRDefault="00AC649B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РЕАЛІЗАЦІЇ ПРОГРАМИ.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551DB5" w:rsidRDefault="00551DB5">
      <w:pPr>
        <w:jc w:val="both"/>
        <w:rPr>
          <w:rFonts w:ascii="Times New Roman" w:eastAsia="Times New Roman" w:hAnsi="Times New Roman" w:cs="Times New Roman"/>
          <w:sz w:val="16"/>
          <w:szCs w:val="16"/>
          <w:highlight w:val="white"/>
        </w:rPr>
      </w:pP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Сесія Менської міської ради визначає першочерговість виконання заходів з урахуванням пріоритетних напрямків Програми і наявно</w:t>
      </w:r>
      <w:r>
        <w:rPr>
          <w:rFonts w:ascii="Times New Roman" w:eastAsia="Times New Roman" w:hAnsi="Times New Roman" w:cs="Times New Roman"/>
          <w:sz w:val="28"/>
          <w:szCs w:val="28"/>
        </w:rPr>
        <w:t>сті фінансових та інших ресурсів. Основні показники та окремі заходи Програми можуть коригуватися з урахуванням соціально-економічної ситуації в громаді та суспільстві з відповідним погодженням сесією міської ради. Механізм реалізації заходів та контроль з</w:t>
      </w:r>
      <w:r>
        <w:rPr>
          <w:rFonts w:ascii="Times New Roman" w:eastAsia="Times New Roman" w:hAnsi="Times New Roman" w:cs="Times New Roman"/>
          <w:sz w:val="28"/>
          <w:szCs w:val="28"/>
        </w:rPr>
        <w:t>а виконанням Програми передбачає: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Менська міська рада затверджує Програму соціального і економічного розвитку Менської територіальної громади на 2026 рік; 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заходи Програми враховуються при розробці бюджету громади та користуються пріоритетним правом при фінансуванні як із місцевого бюджету, так і з інших джерел фінансування не заборонених законодавством; 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постійний моніторинг виконання основних показників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заходів; 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щорічний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розгляд питання про стан виконання Програми на засіданнях виконавчого комітету Менської міської ради. Звіт про реалізацію Програми щорічно заслуховується на сесії Менської міської ради;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підготовку розпорядчих документів Менської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з питань її виконання; 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відповідальність виконавців, що беруть участь у реалізації заходів; </w:t>
      </w:r>
    </w:p>
    <w:p w:rsidR="00551DB5" w:rsidRDefault="00AC649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інформація про хід реалізації Програми висвітлюється в звіті міського голови та оприлюднюється на офіційному веб-сайті Менської міської ради. Коор</w:t>
      </w:r>
      <w:r>
        <w:rPr>
          <w:rFonts w:ascii="Times New Roman" w:eastAsia="Times New Roman" w:hAnsi="Times New Roman" w:cs="Times New Roman"/>
          <w:sz w:val="28"/>
          <w:szCs w:val="28"/>
        </w:rPr>
        <w:t>динацію діяльності Програми здійснює відділ міжнародного співробітництва та економічного розвитку.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міжнародного 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співробітництва та економічного розвитку</w:t>
      </w:r>
    </w:p>
    <w:p w:rsidR="00551DB5" w:rsidRDefault="00AC64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6803"/>
        </w:tabs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Сергій СКОРОХОД</w:t>
      </w:r>
    </w:p>
    <w:p w:rsidR="00551DB5" w:rsidRDefault="00551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51DB5" w:rsidSect="00DE0A77">
      <w:head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B5" w:rsidRDefault="00AC649B">
      <w:r>
        <w:separator/>
      </w:r>
    </w:p>
  </w:endnote>
  <w:endnote w:type="continuationSeparator" w:id="0">
    <w:p w:rsidR="00551DB5" w:rsidRDefault="00AC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B5" w:rsidRDefault="00AC649B">
      <w:r>
        <w:separator/>
      </w:r>
    </w:p>
  </w:footnote>
  <w:footnote w:type="continuationSeparator" w:id="0">
    <w:p w:rsidR="00551DB5" w:rsidRDefault="00AC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B5" w:rsidRDefault="00AC649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3685"/>
        <w:tab w:val="center" w:pos="4819"/>
        <w:tab w:val="right" w:pos="9639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2"/>
        <w:szCs w:val="22"/>
      </w:rPr>
      <w:t>18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ab/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6BE9"/>
    <w:multiLevelType w:val="multilevel"/>
    <w:tmpl w:val="1206B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5C7145E"/>
    <w:multiLevelType w:val="multilevel"/>
    <w:tmpl w:val="430C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948173B"/>
    <w:multiLevelType w:val="multilevel"/>
    <w:tmpl w:val="E722A8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CB13AC"/>
    <w:multiLevelType w:val="multilevel"/>
    <w:tmpl w:val="DB76C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952F7C"/>
    <w:multiLevelType w:val="multilevel"/>
    <w:tmpl w:val="B95C8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E636D6E"/>
    <w:multiLevelType w:val="multilevel"/>
    <w:tmpl w:val="CA4C6D6E"/>
    <w:lvl w:ilvl="0">
      <w:start w:val="1"/>
      <w:numFmt w:val="decimal"/>
      <w:lvlText w:val="%1)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B5"/>
    <w:rsid w:val="00551DB5"/>
    <w:rsid w:val="00AC649B"/>
    <w:rsid w:val="00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widowControl w:val="0"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</w:pPr>
    <w:rPr>
      <w:color w:val="000000"/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pPr>
      <w:ind w:left="720"/>
      <w:contextualSpacing/>
    </w:pPr>
    <w:rPr>
      <w:rFonts w:eastAsia="Times New Roman"/>
      <w:lang w:val="ru-RU" w:eastAsia="ru-RU"/>
    </w:rPr>
  </w:style>
  <w:style w:type="paragraph" w:styleId="ad">
    <w:name w:val="No Spacing"/>
    <w:link w:val="ae"/>
    <w:rPr>
      <w:rFonts w:eastAsia="Times New Roman"/>
      <w:sz w:val="22"/>
      <w:szCs w:val="22"/>
      <w:lang w:val="ru-RU" w:eastAsia="ru-RU"/>
    </w:rPr>
  </w:style>
  <w:style w:type="character" w:customStyle="1" w:styleId="af">
    <w:name w:val="Назва Знак"/>
    <w:uiPriority w:val="10"/>
    <w:rPr>
      <w:sz w:val="48"/>
      <w:szCs w:val="48"/>
    </w:rPr>
  </w:style>
  <w:style w:type="character" w:customStyle="1" w:styleId="af0">
    <w:name w:val="Підзаголовок Знак"/>
    <w:uiPriority w:val="11"/>
    <w:rPr>
      <w:sz w:val="24"/>
      <w:szCs w:val="24"/>
    </w:rPr>
  </w:style>
  <w:style w:type="paragraph" w:styleId="20">
    <w:name w:val="Quote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f1">
    <w:name w:val="Intense Quote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link w:val="af4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</w:style>
  <w:style w:type="paragraph" w:styleId="af5">
    <w:name w:val="footer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8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rPr>
      <w:color w:val="0563C1"/>
      <w:u w:val="single"/>
    </w:rPr>
  </w:style>
  <w:style w:type="paragraph" w:styleId="afa">
    <w:name w:val="footnote text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link w:val="afe"/>
    <w:uiPriority w:val="99"/>
    <w:semiHidden/>
    <w:unhideWhenUsed/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uiPriority w:val="99"/>
    <w:unhideWhenUsed/>
  </w:style>
  <w:style w:type="paragraph" w:customStyle="1" w:styleId="Style1">
    <w:name w:val="Style1"/>
    <w:pPr>
      <w:widowControl w:val="0"/>
      <w:spacing w:line="247" w:lineRule="exact"/>
      <w:ind w:firstLine="14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9">
    <w:name w:val="Font Style19"/>
    <w:rPr>
      <w:rFonts w:ascii="Times New Roman" w:hAnsi="Times New Roman"/>
      <w:b/>
      <w:bCs/>
      <w:sz w:val="20"/>
      <w:szCs w:val="20"/>
    </w:rPr>
  </w:style>
  <w:style w:type="character" w:customStyle="1" w:styleId="23">
    <w:name w:val="Заголовок 2 Знак"/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customStyle="1" w:styleId="Style11">
    <w:name w:val="Style11"/>
    <w:pPr>
      <w:widowControl w:val="0"/>
      <w:spacing w:line="247" w:lineRule="exact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f2">
    <w:name w:val="Body Text Indent"/>
    <w:link w:val="aff3"/>
    <w:pPr>
      <w:ind w:firstLine="851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8"/>
      <w:lang w:eastAsia="ru-RU"/>
    </w:rPr>
  </w:style>
  <w:style w:type="paragraph" w:styleId="aff4">
    <w:name w:val="Body Text"/>
    <w:link w:val="aff5"/>
    <w:pPr>
      <w:widowControl w:val="0"/>
      <w:spacing w:after="1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5">
    <w:name w:val="Основной текст Знак"/>
    <w:link w:val="aff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2">
    <w:name w:val="Body Text Indent 3"/>
    <w:link w:val="33"/>
    <w:pPr>
      <w:widowControl w:val="0"/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aff6">
    <w:name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2 Char"/>
    <w:rPr>
      <w:rFonts w:ascii="Arial" w:hAnsi="Arial"/>
      <w:b/>
      <w:color w:val="2E4396"/>
      <w:sz w:val="30"/>
      <w:szCs w:val="30"/>
      <w:lang w:val="cs-CZ" w:eastAsia="cs-CZ" w:bidi="ar-SA"/>
    </w:rPr>
  </w:style>
  <w:style w:type="paragraph" w:customStyle="1" w:styleId="Nadpis3">
    <w:name w:val="Nadpis3"/>
    <w:pPr>
      <w:spacing w:before="300" w:after="100"/>
    </w:pPr>
    <w:rPr>
      <w:rFonts w:ascii="Arial" w:eastAsia="Times New Roman" w:hAnsi="Arial"/>
      <w:b/>
      <w:color w:val="0000FF"/>
      <w:sz w:val="26"/>
      <w:lang w:val="cs-CZ" w:eastAsia="ru-RU"/>
    </w:rPr>
  </w:style>
  <w:style w:type="paragraph" w:customStyle="1" w:styleId="12">
    <w:name w:val="Абзац списка1"/>
    <w:pPr>
      <w:widowControl w:val="0"/>
      <w:ind w:left="720"/>
      <w:contextualSpacing/>
    </w:pPr>
    <w:rPr>
      <w:rFonts w:eastAsia="Times New Roman"/>
      <w:color w:val="000000"/>
      <w:lang w:val="pl-PL" w:eastAsia="pl-PL"/>
    </w:rPr>
  </w:style>
  <w:style w:type="character" w:customStyle="1" w:styleId="af4">
    <w:name w:val="Верхний колонтитул Знак"/>
    <w:link w:val="af3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rPr>
      <w:sz w:val="22"/>
      <w:szCs w:val="22"/>
      <w:lang w:eastAsia="en-US"/>
    </w:rPr>
  </w:style>
  <w:style w:type="character" w:customStyle="1" w:styleId="Web">
    <w:name w:val="Звичайний (веб) Знак;Обычный (Web) Знак Знак"/>
    <w:link w:val="Web0"/>
    <w:rPr>
      <w:sz w:val="24"/>
      <w:szCs w:val="24"/>
      <w:lang w:val="ru-RU" w:eastAsia="ru-RU"/>
    </w:rPr>
  </w:style>
  <w:style w:type="paragraph" w:customStyle="1" w:styleId="Web0">
    <w:name w:val="Звичайний (веб);Обычный (Web) Знак"/>
    <w:link w:val="We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Без интервала Знак"/>
    <w:link w:val="ad"/>
    <w:rPr>
      <w:rFonts w:eastAsia="Times New Roman"/>
      <w:sz w:val="22"/>
      <w:szCs w:val="22"/>
    </w:rPr>
  </w:style>
  <w:style w:type="character" w:customStyle="1" w:styleId="textexposedshow">
    <w:name w:val="text_exposed_show"/>
  </w:style>
  <w:style w:type="character" w:customStyle="1" w:styleId="UnresolvedMention">
    <w:name w:val="Unresolved Mention"/>
    <w:semiHidden/>
    <w:rPr>
      <w:color w:val="605E5C"/>
      <w:shd w:val="clear" w:color="auto" w:fill="E1DFDD"/>
    </w:rPr>
  </w:style>
  <w:style w:type="character" w:customStyle="1" w:styleId="aff7">
    <w:name w:val="Основной текст_"/>
    <w:link w:val="24"/>
    <w:rPr>
      <w:spacing w:val="20"/>
      <w:sz w:val="25"/>
      <w:szCs w:val="25"/>
      <w:shd w:val="clear" w:color="auto" w:fill="FFFFFF"/>
    </w:rPr>
  </w:style>
  <w:style w:type="character" w:customStyle="1" w:styleId="12pt">
    <w:name w:val="Основной текст + 12 pt"/>
    <w:rPr>
      <w:rFonts w:eastAsia="Times New Roman"/>
      <w:color w:val="000000"/>
      <w:spacing w:val="20"/>
      <w:position w:val="0"/>
      <w:sz w:val="24"/>
      <w:szCs w:val="24"/>
      <w:shd w:val="clear" w:color="auto" w:fill="FFFFFF"/>
      <w:lang w:val="uk-UA"/>
    </w:rPr>
  </w:style>
  <w:style w:type="paragraph" w:customStyle="1" w:styleId="24">
    <w:name w:val="Основной текст2"/>
    <w:link w:val="aff7"/>
    <w:pPr>
      <w:widowControl w:val="0"/>
      <w:shd w:val="clear" w:color="auto" w:fill="FFFFFF"/>
      <w:spacing w:line="182" w:lineRule="exact"/>
      <w:ind w:hanging="340"/>
    </w:pPr>
    <w:rPr>
      <w:spacing w:val="20"/>
      <w:sz w:val="25"/>
      <w:szCs w:val="25"/>
    </w:rPr>
  </w:style>
  <w:style w:type="paragraph" w:styleId="25">
    <w:name w:val="Body Text Indent 2"/>
    <w:link w:val="26"/>
    <w:semiHidden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rPr>
      <w:sz w:val="22"/>
      <w:szCs w:val="22"/>
      <w:lang w:eastAsia="en-US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Subtitle"/>
    <w:basedOn w:val="a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color w:val="000000"/>
      <w:sz w:val="24"/>
      <w:szCs w:val="24"/>
    </w:rPr>
  </w:style>
  <w:style w:type="table" w:customStyle="1" w:styleId="StGen0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widowControl w:val="0"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</w:pPr>
    <w:rPr>
      <w:color w:val="000000"/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pPr>
      <w:ind w:left="720"/>
      <w:contextualSpacing/>
    </w:pPr>
    <w:rPr>
      <w:rFonts w:eastAsia="Times New Roman"/>
      <w:lang w:val="ru-RU" w:eastAsia="ru-RU"/>
    </w:rPr>
  </w:style>
  <w:style w:type="paragraph" w:styleId="ad">
    <w:name w:val="No Spacing"/>
    <w:link w:val="ae"/>
    <w:rPr>
      <w:rFonts w:eastAsia="Times New Roman"/>
      <w:sz w:val="22"/>
      <w:szCs w:val="22"/>
      <w:lang w:val="ru-RU" w:eastAsia="ru-RU"/>
    </w:rPr>
  </w:style>
  <w:style w:type="character" w:customStyle="1" w:styleId="af">
    <w:name w:val="Назва Знак"/>
    <w:uiPriority w:val="10"/>
    <w:rPr>
      <w:sz w:val="48"/>
      <w:szCs w:val="48"/>
    </w:rPr>
  </w:style>
  <w:style w:type="character" w:customStyle="1" w:styleId="af0">
    <w:name w:val="Підзаголовок Знак"/>
    <w:uiPriority w:val="11"/>
    <w:rPr>
      <w:sz w:val="24"/>
      <w:szCs w:val="24"/>
    </w:rPr>
  </w:style>
  <w:style w:type="paragraph" w:styleId="20">
    <w:name w:val="Quote"/>
    <w:link w:val="21"/>
    <w:uiPriority w:val="29"/>
    <w:qFormat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Pr>
      <w:i/>
    </w:rPr>
  </w:style>
  <w:style w:type="paragraph" w:styleId="af1">
    <w:name w:val="Intense Quote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link w:val="af4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</w:style>
  <w:style w:type="paragraph" w:styleId="af5">
    <w:name w:val="footer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8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rPr>
      <w:color w:val="0563C1"/>
      <w:u w:val="single"/>
    </w:rPr>
  </w:style>
  <w:style w:type="paragraph" w:styleId="afa">
    <w:name w:val="footnote text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uiPriority w:val="99"/>
    <w:unhideWhenUsed/>
    <w:rPr>
      <w:vertAlign w:val="superscript"/>
    </w:rPr>
  </w:style>
  <w:style w:type="paragraph" w:styleId="afd">
    <w:name w:val="endnote text"/>
    <w:link w:val="afe"/>
    <w:uiPriority w:val="99"/>
    <w:semiHidden/>
    <w:unhideWhenUsed/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uiPriority w:val="99"/>
    <w:unhideWhenUsed/>
  </w:style>
  <w:style w:type="paragraph" w:customStyle="1" w:styleId="Style1">
    <w:name w:val="Style1"/>
    <w:pPr>
      <w:widowControl w:val="0"/>
      <w:spacing w:line="247" w:lineRule="exact"/>
      <w:ind w:firstLine="14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9">
    <w:name w:val="Font Style19"/>
    <w:rPr>
      <w:rFonts w:ascii="Times New Roman" w:hAnsi="Times New Roman"/>
      <w:b/>
      <w:bCs/>
      <w:sz w:val="20"/>
      <w:szCs w:val="20"/>
    </w:rPr>
  </w:style>
  <w:style w:type="character" w:customStyle="1" w:styleId="23">
    <w:name w:val="Заголовок 2 Знак"/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customStyle="1" w:styleId="Style11">
    <w:name w:val="Style11"/>
    <w:pPr>
      <w:widowControl w:val="0"/>
      <w:spacing w:line="247" w:lineRule="exact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f2">
    <w:name w:val="Body Text Indent"/>
    <w:link w:val="aff3"/>
    <w:pPr>
      <w:ind w:firstLine="851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8"/>
      <w:lang w:eastAsia="ru-RU"/>
    </w:rPr>
  </w:style>
  <w:style w:type="paragraph" w:styleId="aff4">
    <w:name w:val="Body Text"/>
    <w:link w:val="aff5"/>
    <w:pPr>
      <w:widowControl w:val="0"/>
      <w:spacing w:after="1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5">
    <w:name w:val="Основной текст Знак"/>
    <w:link w:val="aff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2">
    <w:name w:val="Body Text Indent 3"/>
    <w:link w:val="33"/>
    <w:pPr>
      <w:widowControl w:val="0"/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aff6">
    <w:name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2 Char"/>
    <w:rPr>
      <w:rFonts w:ascii="Arial" w:hAnsi="Arial"/>
      <w:b/>
      <w:color w:val="2E4396"/>
      <w:sz w:val="30"/>
      <w:szCs w:val="30"/>
      <w:lang w:val="cs-CZ" w:eastAsia="cs-CZ" w:bidi="ar-SA"/>
    </w:rPr>
  </w:style>
  <w:style w:type="paragraph" w:customStyle="1" w:styleId="Nadpis3">
    <w:name w:val="Nadpis3"/>
    <w:pPr>
      <w:spacing w:before="300" w:after="100"/>
    </w:pPr>
    <w:rPr>
      <w:rFonts w:ascii="Arial" w:eastAsia="Times New Roman" w:hAnsi="Arial"/>
      <w:b/>
      <w:color w:val="0000FF"/>
      <w:sz w:val="26"/>
      <w:lang w:val="cs-CZ" w:eastAsia="ru-RU"/>
    </w:rPr>
  </w:style>
  <w:style w:type="paragraph" w:customStyle="1" w:styleId="12">
    <w:name w:val="Абзац списка1"/>
    <w:pPr>
      <w:widowControl w:val="0"/>
      <w:ind w:left="720"/>
      <w:contextualSpacing/>
    </w:pPr>
    <w:rPr>
      <w:rFonts w:eastAsia="Times New Roman"/>
      <w:color w:val="000000"/>
      <w:lang w:val="pl-PL" w:eastAsia="pl-PL"/>
    </w:rPr>
  </w:style>
  <w:style w:type="character" w:customStyle="1" w:styleId="af4">
    <w:name w:val="Верхний колонтитул Знак"/>
    <w:link w:val="af3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rPr>
      <w:sz w:val="22"/>
      <w:szCs w:val="22"/>
      <w:lang w:eastAsia="en-US"/>
    </w:rPr>
  </w:style>
  <w:style w:type="character" w:customStyle="1" w:styleId="Web">
    <w:name w:val="Звичайний (веб) Знак;Обычный (Web) Знак Знак"/>
    <w:link w:val="Web0"/>
    <w:rPr>
      <w:sz w:val="24"/>
      <w:szCs w:val="24"/>
      <w:lang w:val="ru-RU" w:eastAsia="ru-RU"/>
    </w:rPr>
  </w:style>
  <w:style w:type="paragraph" w:customStyle="1" w:styleId="Web0">
    <w:name w:val="Звичайний (веб);Обычный (Web) Знак"/>
    <w:link w:val="We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e">
    <w:name w:val="Без интервала Знак"/>
    <w:link w:val="ad"/>
    <w:rPr>
      <w:rFonts w:eastAsia="Times New Roman"/>
      <w:sz w:val="22"/>
      <w:szCs w:val="22"/>
    </w:rPr>
  </w:style>
  <w:style w:type="character" w:customStyle="1" w:styleId="textexposedshow">
    <w:name w:val="text_exposed_show"/>
  </w:style>
  <w:style w:type="character" w:customStyle="1" w:styleId="UnresolvedMention">
    <w:name w:val="Unresolved Mention"/>
    <w:semiHidden/>
    <w:rPr>
      <w:color w:val="605E5C"/>
      <w:shd w:val="clear" w:color="auto" w:fill="E1DFDD"/>
    </w:rPr>
  </w:style>
  <w:style w:type="character" w:customStyle="1" w:styleId="aff7">
    <w:name w:val="Основной текст_"/>
    <w:link w:val="24"/>
    <w:rPr>
      <w:spacing w:val="20"/>
      <w:sz w:val="25"/>
      <w:szCs w:val="25"/>
      <w:shd w:val="clear" w:color="auto" w:fill="FFFFFF"/>
    </w:rPr>
  </w:style>
  <w:style w:type="character" w:customStyle="1" w:styleId="12pt">
    <w:name w:val="Основной текст + 12 pt"/>
    <w:rPr>
      <w:rFonts w:eastAsia="Times New Roman"/>
      <w:color w:val="000000"/>
      <w:spacing w:val="20"/>
      <w:position w:val="0"/>
      <w:sz w:val="24"/>
      <w:szCs w:val="24"/>
      <w:shd w:val="clear" w:color="auto" w:fill="FFFFFF"/>
      <w:lang w:val="uk-UA"/>
    </w:rPr>
  </w:style>
  <w:style w:type="paragraph" w:customStyle="1" w:styleId="24">
    <w:name w:val="Основной текст2"/>
    <w:link w:val="aff7"/>
    <w:pPr>
      <w:widowControl w:val="0"/>
      <w:shd w:val="clear" w:color="auto" w:fill="FFFFFF"/>
      <w:spacing w:line="182" w:lineRule="exact"/>
      <w:ind w:hanging="340"/>
    </w:pPr>
    <w:rPr>
      <w:spacing w:val="20"/>
      <w:sz w:val="25"/>
      <w:szCs w:val="25"/>
    </w:rPr>
  </w:style>
  <w:style w:type="paragraph" w:styleId="25">
    <w:name w:val="Body Text Indent 2"/>
    <w:link w:val="26"/>
    <w:semiHidden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rPr>
      <w:sz w:val="22"/>
      <w:szCs w:val="22"/>
      <w:lang w:eastAsia="en-US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Subtitle"/>
    <w:basedOn w:val="a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color w:val="000000"/>
      <w:sz w:val="24"/>
      <w:szCs w:val="24"/>
    </w:rPr>
  </w:style>
  <w:style w:type="table" w:customStyle="1" w:styleId="StGen0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F%D1%96%D0%B2%D0%B4%D0%B5%D0%BD%D0%BD%D0%BE-%D0%97%D0%B0%D1%85%D1%96%D0%B4%D0%BD%D0%B0_%D0%B7%D0%B0%D0%BB%D1%96%D0%B7%D0%BD%D0%B8%D1%86%D1%8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k.wikipedia.org/wiki/%D0%9A%D0%BE%D0%BD%D0%BE%D1%82%D0%BE%D0%BF%D1%81%D1%8C%D0%BA%D0%B0_%D0%B4%D0%B8%D1%80%D0%B5%D0%BA%D1%86%D1%96%D1%8F_%D0%B7%D0%B0%D0%BB%D1%96%D0%B7%D0%BD%D0%B8%D1%87%D0%BD%D0%B8%D1%85_%D0%BF%D0%B5%D1%80%D0%B5%D0%B2%D0%B5%D0%B7%D0%B5%D0%BD%D1%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97%D0%B0%D0%BB%D1%96%D0%B7%D0%BD%D0%B8%D1%87%D0%BD%D0%B0_%D1%81%D1%82%D0%B0%D0%BD%D1%86%D1%96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q9hTjK2+l3+2GNzfldyx3clbQ==">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26591</Words>
  <Characters>15157</Characters>
  <Application>Microsoft Office Word</Application>
  <DocSecurity>0</DocSecurity>
  <Lines>126</Lines>
  <Paragraphs>83</Paragraphs>
  <ScaleCrop>false</ScaleCrop>
  <Company/>
  <LinksUpToDate>false</LinksUpToDate>
  <CharactersWithSpaces>41665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 С.В.</dc:creator>
  <cp:lastModifiedBy>Стародуб Л.О.</cp:lastModifiedBy>
  <cp:revision>17</cp:revision>
  <dcterms:created xsi:type="dcterms:W3CDTF">2025-11-03T14:10:00Z</dcterms:created>
  <dcterms:modified xsi:type="dcterms:W3CDTF">2025-11-29T14:53:00Z</dcterms:modified>
</cp:coreProperties>
</file>