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D4" w:rsidRDefault="00EB32FD">
      <w:pPr>
        <w:ind w:left="10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3</w:t>
      </w:r>
    </w:p>
    <w:p w:rsidR="00162AD4" w:rsidRDefault="00EB32FD">
      <w:pPr>
        <w:ind w:left="10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Програми економічного і соціального розвитку Менської міської  територіальної громади на 2026 рік</w:t>
      </w:r>
    </w:p>
    <w:p w:rsidR="00162AD4" w:rsidRDefault="00162AD4">
      <w:pPr>
        <w:ind w:left="10630"/>
        <w:rPr>
          <w:rFonts w:ascii="Times New Roman" w:eastAsia="Times New Roman" w:hAnsi="Times New Roman" w:cs="Times New Roman"/>
          <w:sz w:val="24"/>
          <w:szCs w:val="24"/>
        </w:rPr>
      </w:pPr>
    </w:p>
    <w:p w:rsidR="00162AD4" w:rsidRDefault="00EB32F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Пріоритетні об’єкти, які доцільно фінансувати із залученням коштів державного, місцевих бюджетів, коштів інвесторів та благодійної допомоги у 2026 році</w:t>
      </w:r>
    </w:p>
    <w:p w:rsidR="00162AD4" w:rsidRDefault="00162AD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StGen2"/>
        <w:tblW w:w="14429" w:type="dxa"/>
        <w:tblInd w:w="-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160"/>
        <w:gridCol w:w="1234"/>
        <w:gridCol w:w="1167"/>
        <w:gridCol w:w="1565"/>
        <w:gridCol w:w="1236"/>
        <w:gridCol w:w="1065"/>
        <w:gridCol w:w="1200"/>
        <w:gridCol w:w="1127"/>
      </w:tblGrid>
      <w:tr w:rsidR="00162AD4">
        <w:trPr>
          <w:cantSplit/>
          <w:trHeight w:val="360"/>
          <w:tblHeader/>
        </w:trPr>
        <w:tc>
          <w:tcPr>
            <w:tcW w:w="14429" w:type="dxa"/>
            <w:gridSpan w:val="9"/>
            <w:shd w:val="clear" w:color="auto" w:fill="F1F3F4"/>
          </w:tcPr>
          <w:p w:rsidR="00162AD4" w:rsidRDefault="00162AD4">
            <w:pPr>
              <w:pStyle w:val="2"/>
              <w:spacing w:before="120" w:after="120"/>
              <w:ind w:left="-113" w:right="-113"/>
              <w:jc w:val="center"/>
            </w:pPr>
            <w:bookmarkStart w:id="0" w:name="_heading=h.injnx78l7znl"/>
            <w:bookmarkEnd w:id="0"/>
          </w:p>
        </w:tc>
      </w:tr>
      <w:tr w:rsidR="00162AD4">
        <w:trPr>
          <w:cantSplit/>
          <w:trHeight w:val="220"/>
          <w:tblHeader/>
        </w:trPr>
        <w:tc>
          <w:tcPr>
            <w:tcW w:w="675" w:type="dxa"/>
            <w:vMerge w:val="restart"/>
          </w:tcPr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з/п</w:t>
            </w:r>
          </w:p>
        </w:tc>
        <w:tc>
          <w:tcPr>
            <w:tcW w:w="5160" w:type="dxa"/>
            <w:vMerge w:val="restart"/>
          </w:tcPr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Назва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проєкту</w:t>
            </w:r>
            <w:proofErr w:type="spellEnd"/>
          </w:p>
        </w:tc>
        <w:tc>
          <w:tcPr>
            <w:tcW w:w="1234" w:type="dxa"/>
            <w:vMerge w:val="restart"/>
          </w:tcPr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Загальна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артість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тис. грн.</w:t>
            </w:r>
          </w:p>
          <w:p w:rsidR="00162AD4" w:rsidRDefault="00162AD4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gridSpan w:val="2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4626" w:type="dxa"/>
            <w:gridSpan w:val="4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Джерела та розміри фінансування в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р.,</w:t>
            </w:r>
          </w:p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тис. грн.</w:t>
            </w:r>
          </w:p>
        </w:tc>
      </w:tr>
      <w:tr w:rsidR="00162AD4">
        <w:trPr>
          <w:cantSplit/>
          <w:trHeight w:val="180"/>
          <w:tblHeader/>
        </w:trPr>
        <w:tc>
          <w:tcPr>
            <w:tcW w:w="675" w:type="dxa"/>
            <w:vMerge/>
          </w:tcPr>
          <w:p w:rsidR="00162AD4" w:rsidRDefault="00162A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60" w:type="dxa"/>
            <w:vMerge/>
          </w:tcPr>
          <w:p w:rsidR="00162AD4" w:rsidRDefault="00162A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4" w:type="dxa"/>
            <w:vMerge/>
          </w:tcPr>
          <w:p w:rsidR="00162AD4" w:rsidRDefault="00162AD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67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Проєктної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документації</w:t>
            </w:r>
          </w:p>
        </w:tc>
        <w:tc>
          <w:tcPr>
            <w:tcW w:w="156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Висновку експертизи</w:t>
            </w: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</w:p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тис. грн.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Державний бюджет</w:t>
            </w:r>
          </w:p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тис. грн.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громади</w:t>
            </w:r>
          </w:p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тис. грн.</w:t>
            </w:r>
          </w:p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Інші, не заборонені ЗУ кошти, в. ч. МТД,</w:t>
            </w:r>
          </w:p>
          <w:p w:rsidR="00162AD4" w:rsidRDefault="00EB32FD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тис. грн.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  <w:shd w:val="clear" w:color="auto" w:fill="auto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Стратегічна ціль 1. Інвестиційно приваблива громада, де працюють успішні малі та середні підприємства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  <w:shd w:val="clear" w:color="auto" w:fill="auto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Операційна ціль 1.1. Створені передумови для залучення нових інвесторів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60" w:type="dxa"/>
          </w:tcPr>
          <w:p w:rsidR="00162AD4" w:rsidRDefault="00EB32FD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діяльності індустріального парку "Менський"  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380 000,0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380 000,0</w:t>
            </w:r>
          </w:p>
        </w:tc>
        <w:tc>
          <w:tcPr>
            <w:tcW w:w="106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150 000,0</w:t>
            </w: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230 000,0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1.2. Розвинуте мале та середнє підприємництво, в тому числі з інноваційного виробництва та переробки сільгосппродукції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Створення та забезпечення діяльності Центру розвитку бізнесу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1.3. Забезпечено підтримку туризму, зокрема, зеленого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Формування туристичного культурного магніту в Менській громаді. - зелений туристичний маршрут на плотах/байдарках  по Десні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гастрозупинками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культурно–мистецьким обслуговуванням туристів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bookmarkEnd w:id="1"/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160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велопрокату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придбання шоломів та жилетів,  велосипедів.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60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реабілітаційно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- відновлювального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центру для військових на базі Менського санаторію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Остреч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»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lastRenderedPageBreak/>
              <w:t>20000,0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20000,0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20000,0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  <w:shd w:val="clear" w:color="auto" w:fill="auto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Стратегічна ціль 2.</w:t>
            </w:r>
            <w:r>
              <w:rPr>
                <w:rFonts w:ascii="Arial" w:eastAsia="Arial" w:hAnsi="Arial" w:cs="Arial"/>
                <w:b/>
                <w:color w:val="2626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>Розвинута та дружня до довкілля інфраструктура забезпечує усім мешканцям комфорт, безпечний та доступний громадський простір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  <w:shd w:val="clear" w:color="auto" w:fill="auto"/>
          </w:tcPr>
          <w:p w:rsidR="00162AD4" w:rsidRDefault="00EB32FD">
            <w:pPr>
              <w:ind w:hanging="198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Операційна ціль 2.1. Територія громади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облаштована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 доступна, зручна та безпечна для мешканців та мешканок</w:t>
            </w:r>
          </w:p>
        </w:tc>
      </w:tr>
      <w:tr w:rsidR="00162AD4">
        <w:trPr>
          <w:trHeight w:val="365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Інклюзивний розвиток культурного простору, влаштування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доступу ззовні та всередині бібліотек, музеїв, клубних закладів, об’єктах туристичної інфраструктури та архітектурної спадщини</w:t>
            </w:r>
          </w:p>
        </w:tc>
        <w:tc>
          <w:tcPr>
            <w:tcW w:w="123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доступності культурних послуг Розвиток інклюзивних арт-студій, організації доступного дозвілля: арт-лекторії, культурні вечірки, проведення навчальних сесій для організаторів культурних заходів про важливість формування позитивного сприйняття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важливість культури у формуванні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суспільства 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Ревіталізація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підвальних приміщень закладів культури, які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безпековими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вимогами можуть використовуватись як найпростіші укриття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виконувати функції мистецької платформи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АртУкриття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захисної фортифікаційної споруди (найпростішого укриття) цивільного захисту на 50 осіб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 (ясла-садка) “Сонечко” загального розвитку Менської міської ради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2848,0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2848,0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2848,0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Облаштування пішохідних переходів автономними опорами освітлення на сонячних панелях в населених пунктах Менської громади (кількість 150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)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4500,0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4500,0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4500,0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</w:tcPr>
          <w:p w:rsidR="00162AD4" w:rsidRDefault="00EB32FD">
            <w:pPr>
              <w:ind w:firstLine="1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Операційна ціль 2.2. Гарантована екологічна безпека та якісна комунальна інфраструктура для всіх мешканців і мешканок громади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60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блочно-модульної котельні БМК-1200 по вул. Гімназійна, 1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822,456</w:t>
            </w:r>
          </w:p>
        </w:tc>
        <w:tc>
          <w:tcPr>
            <w:tcW w:w="1167" w:type="dxa"/>
          </w:tcPr>
          <w:p w:rsidR="00162AD4" w:rsidRDefault="00162AD4"/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822,456</w:t>
            </w:r>
          </w:p>
        </w:tc>
        <w:tc>
          <w:tcPr>
            <w:tcW w:w="106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660,956</w:t>
            </w:r>
          </w:p>
        </w:tc>
        <w:tc>
          <w:tcPr>
            <w:tcW w:w="1200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161,500</w:t>
            </w:r>
          </w:p>
        </w:tc>
        <w:tc>
          <w:tcPr>
            <w:tcW w:w="112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60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Модернізація централізованих котелень (2шт) потужністю 1,2МВт та 2,5 МВт в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під альтернативні види палива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3400,0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60" w:type="dxa"/>
            <w:tcBorders>
              <w:bottom w:val="single" w:sz="8" w:space="0" w:color="000000"/>
            </w:tcBorders>
          </w:tcPr>
          <w:p w:rsidR="00162AD4" w:rsidRDefault="00EB32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наземної сонячної електростанції на центральному водозаборі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потужністю 50 кВт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60" w:type="dxa"/>
            <w:tcBorders>
              <w:bottom w:val="single" w:sz="8" w:space="0" w:color="000000"/>
            </w:tcBorders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наземної сонячної електростанції на центральному водозаборі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с.Величківка</w:t>
            </w:r>
            <w:proofErr w:type="spellEnd"/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60" w:type="dxa"/>
            <w:vMerge w:val="restart"/>
            <w:tcBorders>
              <w:bottom w:val="single" w:sz="8" w:space="0" w:color="000000"/>
            </w:tcBorders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Встановлення сонячної електростанції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даху КНП "Менський центр первинної медико-санітарної допомоги"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Менської міської ради потужністю 30 кВт</w:t>
            </w:r>
          </w:p>
        </w:tc>
        <w:tc>
          <w:tcPr>
            <w:tcW w:w="1234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167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1500,0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5160" w:type="dxa"/>
            <w:tcBorders>
              <w:bottom w:val="single" w:sz="8" w:space="0" w:color="000000"/>
            </w:tcBorders>
          </w:tcPr>
          <w:p w:rsidR="00162AD4" w:rsidRDefault="00EB32FD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Будівництво СЕС потужністю 50 кВт на покрівлі адміністративної будівлі Менської міської ради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2400,0</w:t>
            </w:r>
          </w:p>
        </w:tc>
      </w:tr>
      <w:tr w:rsidR="00162AD4">
        <w:trPr>
          <w:trHeight w:val="268"/>
        </w:trPr>
        <w:tc>
          <w:tcPr>
            <w:tcW w:w="675" w:type="dxa"/>
            <w:tcBorders>
              <w:right w:val="single" w:sz="8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Вироблення цілісного підходу до управління відходами шляхом розроблення Плану управління відходами в Менській міській територіальній громаді</w:t>
            </w:r>
          </w:p>
        </w:tc>
        <w:tc>
          <w:tcPr>
            <w:tcW w:w="1234" w:type="dxa"/>
            <w:tcBorders>
              <w:left w:val="single" w:sz="8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60" w:type="dxa"/>
            <w:tcBorders>
              <w:top w:val="single" w:sz="8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Реконструкція дахів освітніх, культурних та соціальних закладах та встановлення сонячних електричних станцій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геліосистем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на них (7шт)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162AD4">
        <w:trPr>
          <w:trHeight w:val="240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дорожнього покриття вулиці Дружби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міської територіальної громади,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району, Чернігівської області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4226,447</w:t>
            </w:r>
          </w:p>
        </w:tc>
        <w:tc>
          <w:tcPr>
            <w:tcW w:w="1167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«СІВЕРЕКСПЕРТ» від 16.05.2023 №02/111/23</w:t>
            </w: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4226,447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4226,447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дорожнього покриття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зїздів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вулиць Сонячна, Щаслива, Молодіжна, Українська, Перемоги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2667,040</w:t>
            </w:r>
          </w:p>
        </w:tc>
        <w:tc>
          <w:tcPr>
            <w:tcW w:w="1167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ТОВ «СІВЕРЕКСПЕРТ»</w:t>
            </w:r>
            <w:r>
              <w:rPr>
                <w:rFonts w:ascii="Times New Roman" w:eastAsia="Times New Roman" w:hAnsi="Times New Roman" w:cs="Times New Roman"/>
              </w:rPr>
              <w:t xml:space="preserve"> від 09.05.2023 №02/105/23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2667,040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2667,040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дорожнього покриття вул. Довженка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3391,777</w:t>
            </w:r>
          </w:p>
        </w:tc>
        <w:tc>
          <w:tcPr>
            <w:tcW w:w="1167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«ПЕРША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БУДІВЕЛЬНА ЕКСПЕРТИЗА» від 22.05.2023 №230515-03/В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3391,777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3391,777</w:t>
            </w:r>
          </w:p>
          <w:p w:rsidR="00162AD4" w:rsidRDefault="00162AD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тротуарів по вул. Чернігівський шлях в центральній частині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2303,293</w:t>
            </w:r>
          </w:p>
        </w:tc>
        <w:tc>
          <w:tcPr>
            <w:tcW w:w="11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«СІВЕРЕКСПЕРТ» від 11.07.2023 №02/149/23</w:t>
            </w: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2303,293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2303,293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дорожнього покриття тротуару та вулиці Героїв АТО від буд. 3 до вул. Армійська буд. 1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1300,65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«СІВЕРЕКСПЕРТ» від 28.07.2025 № 02/116/25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1250,730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00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1250,730</w:t>
            </w:r>
          </w:p>
        </w:tc>
        <w:tc>
          <w:tcPr>
            <w:tcW w:w="112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дорожнього покриття вулиці Садова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с.Феськівка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816,838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«ПЕРША БУДІВЕЛЬНА ЕКСПЕРТИЗА»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04.09.2025 №250827-04/В 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816,838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816,838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каналізаційної мережі від будинку №6 по вул. Корольова до вулиці Героїв АТО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3111,244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«ПЕРША БУДІВЕЛЬНА ЕКСПЕРТИЗА» від 30.07.2025 № 250721-16/В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3111,244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3111,244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водопровідної мережі по вулиці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шлях до вулиці Єдності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2170,00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2170,00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2170,00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комплексу очисних споруд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який розташований за межами міста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Менської міської територіальної громади,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23469,586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 “ЄВРОЕКСПЕРТИЗА” від 09.10.2023 № 2382/23Є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23469,586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/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23469,586</w:t>
            </w:r>
          </w:p>
          <w:p w:rsidR="00162AD4" w:rsidRDefault="00162AD4"/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очисних споруд в селищі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Макошине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району,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10240,0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10240,0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/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10240,0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водопровідної мережі по вул. Приозерна в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/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водопровідної мережі по вул. Мічуріна (Левка Симиренка) в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/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 водопровідної мережі по вул. Армійська,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Сидоренка (Григорія Кочура) в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/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будівництво резервної лінії 0,4 кВ від ЗТП-393-11 до точки водозабору по вул. Чернігівський шлях в 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2160,0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2160,0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/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2160,0</w:t>
            </w:r>
          </w:p>
        </w:tc>
      </w:tr>
      <w:tr w:rsidR="00162AD4">
        <w:trPr>
          <w:trHeight w:val="276"/>
        </w:trPr>
        <w:tc>
          <w:tcPr>
            <w:tcW w:w="67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60" w:type="dxa"/>
            <w:vMerge w:val="restart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приміщення санвузла на першому поверсі адміністративної будівлі за адресою: вул. Героїв АТО, 6,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Чернігівської обл.</w:t>
            </w:r>
          </w:p>
        </w:tc>
        <w:tc>
          <w:tcPr>
            <w:tcW w:w="1234" w:type="dxa"/>
            <w:vMerge w:val="restart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171,947</w:t>
            </w:r>
          </w:p>
        </w:tc>
        <w:tc>
          <w:tcPr>
            <w:tcW w:w="1167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5" w:type="dxa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"Перша будівельна експертиза" від 06.10.2025 №251001-05/В </w:t>
            </w:r>
          </w:p>
        </w:tc>
        <w:tc>
          <w:tcPr>
            <w:tcW w:w="1236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171,947</w:t>
            </w:r>
          </w:p>
        </w:tc>
        <w:tc>
          <w:tcPr>
            <w:tcW w:w="1065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 w:val="restart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171,947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Придбання багатофункціональної самохідної установки класу амфібія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Truxor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із додатковим обладнанням у комплекті (або аналог) для очищення водойм та річок в Менській громаді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9500,0</w:t>
            </w:r>
          </w:p>
        </w:tc>
        <w:tc>
          <w:tcPr>
            <w:tcW w:w="116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9500,0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  <w:shd w:val="clear" w:color="auto" w:fill="auto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Стратегічна ціль 3. </w:t>
            </w: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</w:rPr>
              <w:t xml:space="preserve"> Громада ефективного та прозорого врядування, де всі мешканці та мешканки отримують доступні, інклюзивні та якісні послуги. Активна громадськість бере участь у житті громади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  <w:shd w:val="clear" w:color="auto" w:fill="auto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Операційна ціль 3.1. Якісна та інклюзивна освіта доступна кожній та кожному у гро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маді 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будівлі початкової школи Менського опорного закладу загальної середньої освіти І-ІІІ ступеня ім. Т.Г.Шевченка Менської міської ради (заміна та утеплення покрівлі, фасаду, встановлення енергозберігаючих світлопрозорих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огороджуюч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конструкцій (вікна, дверні блоки), системи рекуперації тепла.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будівлі майстерні Менського опорного закладу загальної середньої освіти І-ІІІ ступеня ім. Т.Г.Шевченка закладу освіти (заміна та утеплення покрівлі, фасаду, встановлення енергозберігаючих світлопрозорих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огороджуючих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конструкцій (вікна, дв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ері) та ремонт навчальних майстерень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Нове будівництво модульного протирадіаційного укриття (ПРУ) на території Менського опорного ЗЗСО І-ІІІ ступенів ім.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Т.Г.Шевченка по вул. Чернігівський шлях,11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96290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167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 “Центр комплексних експертиз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проектів” від 27.06.2025 №297КЕ/2025</w:t>
            </w: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96290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2AD4" w:rsidRDefault="00162AD4"/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96290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,7</w:t>
            </w:r>
          </w:p>
          <w:p w:rsidR="00162AD4" w:rsidRDefault="00162AD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Облаштування укриття  та створення освітнього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базі протирадіаційного укриття Менського опорного ЗЗСО І-ІІІ ступенів ім. Т.Г.Шевченка по вул. Чернігівський шлях,7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/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покрівлі основного корпусу Менського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опорного ЗЗСО І-ІІІ ступенів ім. Т.Г.Шевченка по вул. Чернігівський шлях,11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/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Аварійно-відновлювальні роботи покрівлі початкової школи Менського опорного ЗЗСО І-ІІІ ступенів ім. Т.Г.Шевченка по вул. Чернігівський шлях,11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автоматичної пожежної сигналізації, оповіщення про пожежу, управління евакуацією людей, устаткування передавання тривожних сповіщень в приміщеннях (в усіх будівлях закладу освіти) Менського ОЗЗСО І-ІІІ ступенів ім. Т.Г.Шевченка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Захист від прямих попадань блискавки 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вторинних її проявів в усіх будівлях Менського ОЗЗСО І-ІІІ ступенів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ім.Т.Г.Шевченка</w:t>
            </w:r>
            <w:proofErr w:type="spellEnd"/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</w:tc>
        <w:tc>
          <w:tcPr>
            <w:tcW w:w="1167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Додаток </w:t>
            </w:r>
          </w:p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рішення виконавчого комітету Менсько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 міської ради                                                                 _____ листопада 2025 р №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 від прямих попадань блискавки і вторинних її проявів (в усіх будівлях) Менського закладу дошкільної освіти (ясла-садка) «Дитяча академія» комбінованого типу Менської міської ради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Встановлення автоматичної пожежної сигналізації, оповіщення про пожежу, управління евакуацією людей, устаткування передавання тривожних сповіщень в приміщенні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Стольненського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загальної середньої освіти І-ІІІ ступенів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ановлення автоматичної пожежної сигналізації, оповіщення про пожежу,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управління евакуацією людей, устаткування передавання тривожних сповіщень в приміщеннях Опорного закладу Менська гімназія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65" w:type="dxa"/>
          </w:tcPr>
          <w:p w:rsidR="00162AD4" w:rsidRDefault="00162AD4"/>
        </w:tc>
        <w:tc>
          <w:tcPr>
            <w:tcW w:w="1200" w:type="dxa"/>
          </w:tcPr>
          <w:p w:rsidR="00162AD4" w:rsidRDefault="00162AD4"/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Встановлення сучасних дитячих ігрових майданчиків з елементами інклюзії в ЗДО Менської ТГ (3 </w:t>
            </w: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)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690, 0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«Smart-клас – це реальність!» (придбання обладнання для облаштування сучасного smart-класу: комп’ютери, роботи, мікроскоп, інте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рактивний монітор, обладнання для фотозйомки; сучасні меблі) для учнів Менського ОЗСО І-ІІІ ступенів ім. Т.Г.Шевченка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«Створення багатофункціонального спортивно–культурного простору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!», який включає (проведення поточного ремонту існуючого приміщення міні спортивного залу та придбання необхідного обладнання для ефективного функціонування багатофункціонального 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ивно–культурного простору)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шкільного автобуса для організації підвозу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065" w:type="dxa"/>
          </w:tcPr>
          <w:p w:rsidR="00162AD4" w:rsidRDefault="00162AD4"/>
        </w:tc>
        <w:tc>
          <w:tcPr>
            <w:tcW w:w="1200" w:type="dxa"/>
          </w:tcPr>
          <w:p w:rsidR="00162AD4" w:rsidRDefault="00162AD4"/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освітнього простору в початковій школі Менського опорного закладу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освіти загальної середньої освіти І-ІІІ ступеня ім. Т.Г.Шевченка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сучасних меблів для обідньої зали закладів освіти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сучасного технологічного обладнання для кухні всіх закладів освіти Менської громади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Кімната ментального здоров’я педагогів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закладу загальної середньої освіти І-ІІІ ступенів Менської міської ради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"Крок за кроком до майстерності: Програма безперервного навчання"/"Безперервний професійний розвиток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Інструменти для успіху"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Функціонування ЦПРПП у напрямку удосконалення творчого педагогічного простору та інновацій – «Педагогічна вітальня»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дієвого Міжшкільного учнівського парламенту для дітей віком 12-17 років з метою забезпечення права бути почутим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Капітальний ремонт будівлі Опорного закладу Менської гімназії Менської міської ради Менського району Чернігівс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ької області (коригування) 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Проведення поточного ремонту найпростішого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укриття Менського ЗДО (ясла-садка) “Дитяча академія” комбінованого типу Менської міської ради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162AD4">
        <w:trPr>
          <w:trHeight w:val="240"/>
        </w:trPr>
        <w:tc>
          <w:tcPr>
            <w:tcW w:w="14429" w:type="dxa"/>
            <w:gridSpan w:val="9"/>
          </w:tcPr>
          <w:p w:rsidR="00162AD4" w:rsidRDefault="00EB32FD">
            <w:pPr>
              <w:ind w:hanging="14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Операційна ціль 3.2. Усі мешканці та мешканки громади мають всебічний доступ до публічних послуг у відповідності до своїх потреб 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фасаду 3-х поверхового лікувального корпусу КНП «Менська міська лікарня» Менської міської ради з ремонтом теплових мереж із застосуванням заходів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теплореновації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61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Чернігівської області</w:t>
            </w:r>
          </w:p>
        </w:tc>
        <w:tc>
          <w:tcPr>
            <w:tcW w:w="1234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22000,0</w:t>
            </w:r>
          </w:p>
        </w:tc>
        <w:tc>
          <w:tcPr>
            <w:tcW w:w="1167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р.</w:t>
            </w:r>
          </w:p>
        </w:tc>
        <w:tc>
          <w:tcPr>
            <w:tcW w:w="15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ТОВ «Перша буді</w:t>
            </w:r>
            <w:r>
              <w:rPr>
                <w:rFonts w:ascii="Times New Roman" w:eastAsia="Times New Roman" w:hAnsi="Times New Roman" w:cs="Times New Roman"/>
              </w:rPr>
              <w:t>вельна експертиза» № 210611-8/В від 14.06.2021 року</w:t>
            </w:r>
          </w:p>
        </w:tc>
        <w:tc>
          <w:tcPr>
            <w:tcW w:w="1236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11000,0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 нового футбольного майданчику зі штучним покриттям в Менській міській ТГ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спортивного комплексу із стадіоном по вул. Банкова,4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 рік</w:t>
            </w:r>
          </w:p>
        </w:tc>
        <w:tc>
          <w:tcPr>
            <w:tcW w:w="15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ТОВ «Перша будівельна експертиза» № 211011-7/А від 12.11.2021 року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14400,0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медичного обладнання для КНП «Менська міська лікарня” Менська міська рада для надання високоякісної та своєчасної допомоги населенню громади.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системи опалення 2-х поверхового лікувального корпусу КНП «Менська міська лікарня»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755,0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61.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санвузла та входу в будівлю Паліативного відділення КНП «Менська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міська лікарня»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багатофункціональних ліжок для КНП «Менська міська лікарня»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61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Чернігівської області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комп'ютерної техніки для КНП «Менський центр ПМСД» Менської міської ради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/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300,0 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санвузла та входу в будівлю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лікарської амбулаторії загальної практики сімейної медицини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Зарічна, буд. 11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139,323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ТОВ  "Перша будівельна експертиза" №201201-2/В  від 09.12.2020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139,323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139,323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санвузла та входу в будівлю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Бірківської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сільської лікарської амбулаторії загальної практики сімейної медицини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адресою: Чернігівська область, Менський район,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с.Бірківка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вул.Миру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буд.44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134,819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ТОВ  "Перша будівельна експертиза" №201202-1/В  від 09.12.2020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134,819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134,819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санвузла та входу в будівлю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сільської лікарської амбулаторії загальної практики сімейної медицини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с.Киселівка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вул.Дружби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буд.21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ТОВ  "Перша будівельна експертиза" №201202-2/В  від 09.12.2020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305,101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305,101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будівлі ФАП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с.Волосківці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с.Волосківці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вул.Пархоменка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/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2-х повнопривідних автомобілів для потреб КНП «Менський центр ПМСД» Менської міської ради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1200,0 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Облаштування тимчасового місця проживання для громадян, які у зв'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язку з бойовими діями залишили постійне  місце проживання (с. Стольне та с-ще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4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67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та облаштування простору “Ветеран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234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67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6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5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фасаду відділення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 з ремонтом теплових мереж із застосуванням заходів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теплорен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адресою: вул. Коцюбинського, 12 с. Стольне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р-ну Чернігівської обл.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2850,0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2850,0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кухні у відділенні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  за адресою: вул. Коцюбинського, 12 с. Стольне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р-ну Чернігівської обл.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сучасного технологічного обладнання для кухні у відділенні стаціонарного догляду для постійного або тимчасового проживання Комунальної установи «Менський територіальний центр надання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оціальних послуг» Менської міської ради  за адресою: вул. Коцюбинського, 12 с. Стольне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р-ну Чернігівської обл.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«Створення арт-терапевтичної кімнати» у відділенні стаціонарного догляду для постійного або тимчасового проживання Комунальної установи «Менський територіальний центр надання соціальних послуг» Менської міської ради  за адресою: вул. Коцюбинського, 12 с.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тольне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р-ну Чернігівської обл.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включає (проведення поточного ремонту існуючого приміщення та придбання необхідного обладнання для ефективного функціонування кімнати)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санвузла та входу в будівлю Комунальної установи «Менський територіальний центр надання соціальних послуг» Менської міської ради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облас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Сергія Титаренка, буд. 7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простору соціальної адаптації на прилеглій території у Комунальній установі «Менський територіальний центр надання соціальних послуг» Менської міської ради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 за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ою: Чернігівська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Сергія Титаренка, буд. 7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Покращення соціальної послуги “швейна майстерня” в Комунальній установі «Менський територіальний центр надання соціальних послуг» Менської міської ради 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Реконструкція входу в будівлю Комунальної установи “Менський міський центр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оціальних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служб” Менської міської ради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буд. 8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79.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санвузла в будівлі Комунальної установи “Менський міський центр соціальних служб” Менської міської ради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буд. 8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входу в “Безпечний простір” у будівлі Комунальної установи “Менський міський центр соціальних служб” Менської міської ради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Троїцька, буд. 13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Будівництво санвузла   у “Безпечному просторі” в будівлі Комунальної установи “Менський міський центр соціальних служб” Менської міської ради з урахуванням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Троїцька, буд. 13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“Кімнати кризового реагування”  у “Безпечному просторі” в будівлі Комунальної установи “Менський міський центр соціальних служб” Менської міської ради з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рахуванням вимог для осіб з інвалідністю та інших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населення, за адресою: Чернігівська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вул. Троїцька, буд. 13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non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автомобілю для осіб з функціональними обмеженнями для  забезпечення функціонування служби “Соціальне таксі” Комунальної установи “Менський міський центр соціальних служб” Менської міської ради</w:t>
            </w:r>
          </w:p>
        </w:tc>
        <w:tc>
          <w:tcPr>
            <w:tcW w:w="1234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67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4" w:space="0" w:color="000000"/>
              <w:left w:val="none" w:sz="4" w:space="0" w:color="000000"/>
              <w:bottom w:val="single" w:sz="5" w:space="0" w:color="000000"/>
              <w:right w:val="single" w:sz="5" w:space="0" w:color="000000"/>
            </w:tcBorders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Створення Центру культурних послуг на базі КЗ “Менський будинок культури” Менської міської ради по вул. Героїв АТО, 3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Чернігівської обл. багатофункціонального типу з подальшою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енергоефективною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модернізацією та санацією будівл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будинку культури, збільшенням комфорту для користувачів культурних послуг, трансформацією прилеглого до будівлі ландшафту з урахуванням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населення.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26300,0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Виготовлення ПКД на створення центру культурних послуг на базі КЗ «Менський будинок культури» по вул. Героїв АТО, 3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Чернігівської обл.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ганку КЗ “Менський будинок культури” по вул. Гер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оїв АТО, 3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Чернігівської області”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Капітальний ремонт  будівлі Комунального закладу «Менський краєзнавчий музей ім. В.Ф. Покотила» Менської міської ради, вул. Шевченка, 12,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району, Чернігівської області,  встановлення індивідуального теплового пункту, ремонт та утепле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ння фасаду, теплоізоляція даху, заміна вікон та дверей на енергозберігаючі, встановлення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інженерних мереж (підключення до централізованого водопостачання, заміна освітлювальних приладів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енергоефективні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тощо)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ганку та фасаду КЗ «Центру культури та дозвілля молоді» Менської міської ради,  з виготовленням ПКД, трансформацією прилеглого до будівлі ландшафту з урахуванням потреб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маломобільних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населення по вул. Героїв АТО, 10, 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Чернігівської області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Реконструкція кінозалу в КЗ «Центру культури та дозвілля молоді» Менської міської ради з метою забезпечення міста сучасним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залом-трансформером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виготовленням ПКД  по вул. Героїв АТО, 10, 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Чернігівської області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санвузлів в КЗ ЦКДМ з елементами інклюзії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вікон та поточний ремонт підвального приміщення в КЗ ЦКДМ, встановлення системи вентиляції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автоматизованими системами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охоронної сигналізації та внутрішніми засобами пожежогасіння в закладах культури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автобусу для комфортного та оперативного переміщення колективів та працівників культури 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покрівлі гаража «КЗ Менський будинок культури» Менської міської ради по вул. Героїв АТО, 3 в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Чернігівської обл.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Часткова заміна дверей, вікон спортивної зали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Макошинської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філії КЗ «Менський Будинок культури» Менської міської ради по вул. Центральна 5-в, с-ще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Макошине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Корюківського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району, Чернігівської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Придбання автоматизованої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бібліотечної інформаційної системи «УФД/Бібліотека»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60" w:type="dxa"/>
          </w:tcPr>
          <w:p w:rsidR="00162AD4" w:rsidRDefault="00EB32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Поточний ремонт фойє, глядацької зали, класу для репетицій дитячого духового оркестру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Киселівської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філії КЗ «Менський будинок культури» Менської міської ради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5160" w:type="dxa"/>
          </w:tcPr>
          <w:p w:rsidR="00162AD4" w:rsidRDefault="00EB32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Енергоефективна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модернізація будівлі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Стольненської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філії комунального закладу “Менський будинок культури” Менської міської ради, санація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тепломодернізація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заміна системи опалення, вентиляції, енергоефективність, ландшафт внутрішнього простор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будівлі з елементами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встановлення автономного  теплового пункту на альтернативних видах палива, ремонт та утеплення фасаду, заміна вікон та дверей на енергозберігаючі, заміна освітлювальних приладів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енергоефективні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трансформація всіх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ранзитних, видовищних та інших типів приміщень з доступністю осіб з обмеженою мобільністю.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</w:tc>
      </w:tr>
      <w:tr w:rsidR="00162AD4">
        <w:trPr>
          <w:trHeight w:val="57"/>
        </w:trPr>
        <w:tc>
          <w:tcPr>
            <w:tcW w:w="67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160" w:type="dxa"/>
          </w:tcPr>
          <w:p w:rsidR="00162AD4" w:rsidRDefault="00EB32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 по забезпеченню доступу до Інтернет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мережі  філій КЗ МБК та КЗ МПБ. Перетворення бібліотек на відкриті майданчики культурних комунікацій</w:t>
            </w:r>
          </w:p>
        </w:tc>
        <w:tc>
          <w:tcPr>
            <w:tcW w:w="1234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1167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65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</w:tcPr>
          <w:p w:rsidR="00162AD4" w:rsidRDefault="00162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162AD4" w:rsidRDefault="00EB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</w:tbl>
    <w:p w:rsidR="00162AD4" w:rsidRDefault="00162AD4">
      <w:pPr>
        <w:pBdr>
          <w:top w:val="none" w:sz="0" w:space="23" w:color="000000"/>
        </w:pBdr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</w:p>
    <w:p w:rsidR="00162AD4" w:rsidRDefault="00EB32FD">
      <w:pPr>
        <w:pBdr>
          <w:top w:val="none" w:sz="0" w:space="23" w:color="000000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відділу міжнародного співробітництва</w:t>
      </w:r>
    </w:p>
    <w:p w:rsidR="00162AD4" w:rsidRDefault="00EB32FD">
      <w:pPr>
        <w:pBdr>
          <w:top w:val="none" w:sz="0" w:space="23" w:color="000000"/>
        </w:pBdr>
        <w:tabs>
          <w:tab w:val="left" w:pos="907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 економічного розвитку 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Сергій СКОРОХОД</w:t>
      </w:r>
    </w:p>
    <w:sectPr w:rsidR="00162AD4" w:rsidSect="00EB32F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709" w:footer="709" w:gutter="0"/>
      <w:pgNumType w:start="2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D4" w:rsidRDefault="00EB32FD">
      <w:r>
        <w:separator/>
      </w:r>
    </w:p>
  </w:endnote>
  <w:endnote w:type="continuationSeparator" w:id="0">
    <w:p w:rsidR="00162AD4" w:rsidRDefault="00EB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D4" w:rsidRDefault="00162AD4">
    <w:pPr>
      <w:tabs>
        <w:tab w:val="center" w:pos="7143"/>
        <w:tab w:val="right" w:pos="14287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D4" w:rsidRDefault="00162AD4">
    <w:pPr>
      <w:tabs>
        <w:tab w:val="center" w:pos="7143"/>
        <w:tab w:val="right" w:pos="1428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D4" w:rsidRDefault="00EB32FD">
      <w:r>
        <w:separator/>
      </w:r>
    </w:p>
  </w:footnote>
  <w:footnote w:type="continuationSeparator" w:id="0">
    <w:p w:rsidR="00162AD4" w:rsidRDefault="00EB3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AD4" w:rsidRDefault="00EB32FD">
    <w:pPr>
      <w:tabs>
        <w:tab w:val="center" w:pos="7143"/>
        <w:tab w:val="right" w:pos="14287"/>
      </w:tabs>
      <w:jc w:val="right"/>
      <w:rPr>
        <w:rFonts w:ascii="Times New Roman" w:eastAsia="Times New Roman" w:hAnsi="Times New Roman" w:cs="Times New Roman"/>
        <w:i/>
        <w:color w:val="000000"/>
        <w:sz w:val="24"/>
        <w:szCs w:val="24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48</w:t>
    </w:r>
    <w:r>
      <w:rPr>
        <w:color w:val="000000"/>
      </w:rPr>
      <w:fldChar w:fldCharType="end"/>
    </w: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 xml:space="preserve">                                                                            продовження додатка</w:t>
    </w:r>
  </w:p>
  <w:p w:rsidR="00162AD4" w:rsidRDefault="00162AD4">
    <w:pPr>
      <w:tabs>
        <w:tab w:val="center" w:pos="7143"/>
        <w:tab w:val="right" w:pos="1428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498912"/>
      <w:docPartObj>
        <w:docPartGallery w:val="Page Numbers (Top of Page)"/>
        <w:docPartUnique/>
      </w:docPartObj>
    </w:sdtPr>
    <w:sdtContent>
      <w:p w:rsidR="00EB32FD" w:rsidRDefault="00EB32F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B32FD">
          <w:rPr>
            <w:noProof/>
            <w:lang w:val="ru-RU"/>
          </w:rPr>
          <w:t>27</w:t>
        </w:r>
        <w:r>
          <w:fldChar w:fldCharType="end"/>
        </w:r>
      </w:p>
    </w:sdtContent>
  </w:sdt>
  <w:p w:rsidR="00162AD4" w:rsidRDefault="00162AD4">
    <w:pPr>
      <w:tabs>
        <w:tab w:val="center" w:pos="7143"/>
        <w:tab w:val="right" w:pos="14287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D4"/>
    <w:rsid w:val="00162AD4"/>
    <w:rsid w:val="00E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Title"/>
    <w:basedOn w:val="a"/>
    <w:next w:val="a"/>
    <w:pPr>
      <w:spacing w:before="300" w:after="200"/>
    </w:pPr>
    <w:rPr>
      <w:color w:val="000000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link w:val="ad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er"/>
    <w:link w:val="af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table of figures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link w:val="Heading1Char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/>
      <w:sz w:val="40"/>
      <w:szCs w:val="40"/>
      <w:lang w:bidi="ar-SA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/>
      <w:sz w:val="34"/>
      <w:szCs w:val="22"/>
      <w:lang w:bidi="ar-SA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/>
      <w:sz w:val="30"/>
      <w:szCs w:val="30"/>
      <w:lang w:bidi="ar-SA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f5">
    <w:name w:val="List Paragraph"/>
    <w:basedOn w:val="af6"/>
    <w:pPr>
      <w:ind w:left="720"/>
      <w:contextualSpacing/>
    </w:pPr>
  </w:style>
  <w:style w:type="paragraph" w:styleId="af7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</w:style>
  <w:style w:type="character" w:customStyle="1" w:styleId="af8">
    <w:name w:val="Назва Знак"/>
    <w:uiPriority w:val="10"/>
    <w:rPr>
      <w:sz w:val="48"/>
      <w:szCs w:val="48"/>
      <w:lang w:bidi="ar-SA"/>
    </w:rPr>
  </w:style>
  <w:style w:type="character" w:customStyle="1" w:styleId="af9">
    <w:name w:val="Підзаголовок Знак"/>
    <w:uiPriority w:val="11"/>
    <w:rPr>
      <w:sz w:val="24"/>
      <w:szCs w:val="24"/>
      <w:lang w:bidi="ar-SA"/>
    </w:rPr>
  </w:style>
  <w:style w:type="paragraph" w:styleId="20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lang w:eastAsia="en-US" w:bidi="en-US"/>
    </w:rPr>
  </w:style>
  <w:style w:type="character" w:customStyle="1" w:styleId="22">
    <w:name w:val="Цитата 2 Знак"/>
    <w:link w:val="20"/>
    <w:uiPriority w:val="29"/>
    <w:rPr>
      <w:i/>
      <w:sz w:val="22"/>
      <w:szCs w:val="22"/>
      <w:lang w:val="uk-UA" w:eastAsia="en-US" w:bidi="en-US"/>
    </w:rPr>
  </w:style>
  <w:style w:type="paragraph" w:styleId="afa">
    <w:name w:val="Intense Quote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lang w:eastAsia="en-US" w:bidi="en-US"/>
    </w:rPr>
  </w:style>
  <w:style w:type="character" w:customStyle="1" w:styleId="afb">
    <w:name w:val="Выделенная цитата Знак"/>
    <w:link w:val="afa"/>
    <w:uiPriority w:val="30"/>
    <w:rPr>
      <w:i/>
      <w:sz w:val="22"/>
      <w:szCs w:val="22"/>
      <w:shd w:val="clear" w:color="auto" w:fill="F2F2F2"/>
      <w:lang w:val="uk-UA" w:eastAsia="en-US" w:bidi="en-US"/>
    </w:rPr>
  </w:style>
  <w:style w:type="paragraph" w:customStyle="1" w:styleId="10">
    <w:name w:val="Верхній колонтитул1"/>
    <w:link w:val="HeaderChar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 w:bidi="en-US"/>
    </w:rPr>
  </w:style>
  <w:style w:type="character" w:customStyle="1" w:styleId="HeaderChar">
    <w:name w:val="Header Char"/>
    <w:link w:val="10"/>
    <w:uiPriority w:val="99"/>
    <w:rPr>
      <w:sz w:val="22"/>
      <w:szCs w:val="22"/>
      <w:lang w:val="uk-UA" w:eastAsia="en-US" w:bidi="en-US"/>
    </w:rPr>
  </w:style>
  <w:style w:type="paragraph" w:customStyle="1" w:styleId="12">
    <w:name w:val="Нижній колонтитул1"/>
    <w:link w:val="FooterChar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 w:bidi="en-US"/>
    </w:rPr>
  </w:style>
  <w:style w:type="character" w:customStyle="1" w:styleId="FooterChar">
    <w:name w:val="Footer Char"/>
    <w:link w:val="12"/>
    <w:uiPriority w:val="99"/>
    <w:rPr>
      <w:sz w:val="22"/>
      <w:szCs w:val="22"/>
      <w:lang w:val="uk-UA" w:eastAsia="en-US" w:bidi="en-US"/>
    </w:rPr>
  </w:style>
  <w:style w:type="table" w:styleId="afc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Звичайна таблиц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Звичайна таблиц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Звичайна таблиц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Звичайна таблиц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я-сітка 1 (світл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я-сі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я-сі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я-сі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я-сітка 5 (темн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я-сітка 6 (кольоров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я-сітка 7 (кольоров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я-список 1 (світл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я-список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я-список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я-список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я-список 5 (темн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я-список 6 (кольоров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я-список 7 (кольоров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footnote text"/>
    <w:link w:val="aff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f">
    <w:name w:val="Текст сноски Знак"/>
    <w:link w:val="afe"/>
    <w:uiPriority w:val="99"/>
    <w:semiHidden/>
    <w:rPr>
      <w:sz w:val="18"/>
      <w:szCs w:val="22"/>
      <w:lang w:bidi="ar-SA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lang w:eastAsia="en-US" w:bidi="en-US"/>
    </w:rPr>
  </w:style>
  <w:style w:type="paragraph" w:styleId="30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lang w:eastAsia="en-US" w:bidi="en-US"/>
    </w:rPr>
  </w:style>
  <w:style w:type="paragraph" w:styleId="40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lang w:eastAsia="en-US" w:bidi="en-US"/>
    </w:rPr>
  </w:style>
  <w:style w:type="paragraph" w:styleId="60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lang w:eastAsia="en-US" w:bidi="en-US"/>
    </w:rPr>
  </w:style>
  <w:style w:type="paragraph" w:styleId="70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lang w:eastAsia="en-US" w:bidi="en-US"/>
    </w:rPr>
  </w:style>
  <w:style w:type="paragraph" w:styleId="80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lang w:eastAsia="en-US" w:bidi="en-US"/>
    </w:rPr>
  </w:style>
  <w:style w:type="paragraph" w:styleId="90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lang w:eastAsia="en-US" w:bidi="en-US"/>
    </w:rPr>
  </w:style>
  <w:style w:type="paragraph" w:styleId="aff1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 w:bidi="en-US"/>
    </w:rPr>
  </w:style>
  <w:style w:type="paragraph" w:customStyle="1" w:styleId="af6">
    <w:name w:val="Абзац списка Знак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color w:val="0000FF"/>
      <w:u w:val="single"/>
    </w:rPr>
  </w:style>
  <w:style w:type="character" w:customStyle="1" w:styleId="14">
    <w:name w:val="Шрифт абзацу за замовчуванням1"/>
  </w:style>
  <w:style w:type="table" w:customStyle="1" w:styleId="15">
    <w:name w:val="Звичайна таблиця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має списку1"/>
    <w:semiHidden/>
  </w:style>
  <w:style w:type="character" w:customStyle="1" w:styleId="17">
    <w:name w:val="Гіперпосилання1"/>
    <w:semiHidden/>
    <w:rPr>
      <w:color w:val="0000FF"/>
      <w:u w:val="single"/>
    </w:rPr>
  </w:style>
  <w:style w:type="paragraph" w:customStyle="1" w:styleId="18">
    <w:name w:val="Текст у виносці1"/>
    <w:basedOn w:val="af6"/>
    <w:link w:val="aff2"/>
    <w:semiHidden/>
    <w:pPr>
      <w:spacing w:after="0" w:line="240" w:lineRule="auto"/>
    </w:pPr>
    <w:rPr>
      <w:rFonts w:ascii="Segoe UI" w:hAnsi="Segoe UI"/>
      <w:color w:val="auto"/>
      <w:sz w:val="18"/>
      <w:szCs w:val="18"/>
      <w:u w:val="none"/>
      <w:lang w:eastAsia="en-US"/>
    </w:rPr>
  </w:style>
  <w:style w:type="character" w:customStyle="1" w:styleId="aff2">
    <w:name w:val="Текст у виносці Знак"/>
    <w:link w:val="18"/>
    <w:semiHidden/>
    <w:rPr>
      <w:rFonts w:ascii="Segoe UI" w:hAnsi="Segoe UI"/>
      <w:sz w:val="18"/>
      <w:szCs w:val="18"/>
      <w:lang w:val="uk-UA" w:eastAsia="en-US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00">
    <w:name w:val="StGen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Normal (Web)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customStyle="1" w:styleId="StGen1">
    <w:name w:val="StGen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4">
    <w:name w:val="Subtitle"/>
    <w:basedOn w:val="a"/>
    <w:next w:val="a"/>
    <w:pPr>
      <w:spacing w:before="200" w:after="200"/>
    </w:pPr>
    <w:rPr>
      <w:color w:val="000000"/>
      <w:sz w:val="24"/>
      <w:szCs w:val="24"/>
    </w:rPr>
  </w:style>
  <w:style w:type="table" w:customStyle="1" w:styleId="StGen2">
    <w:name w:val="StGen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EB32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Title"/>
    <w:basedOn w:val="a"/>
    <w:next w:val="a"/>
    <w:pPr>
      <w:spacing w:before="300" w:after="200"/>
    </w:pPr>
    <w:rPr>
      <w:color w:val="000000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link w:val="ad"/>
    <w:uiPriority w:val="99"/>
    <w:unhideWhenUsed/>
    <w:pPr>
      <w:tabs>
        <w:tab w:val="center" w:pos="7143"/>
        <w:tab w:val="right" w:pos="14287"/>
      </w:tabs>
    </w:pPr>
  </w:style>
  <w:style w:type="paragraph" w:styleId="ae">
    <w:name w:val="footer"/>
    <w:link w:val="af"/>
    <w:uiPriority w:val="99"/>
    <w:unhideWhenUsed/>
    <w:pPr>
      <w:tabs>
        <w:tab w:val="center" w:pos="7143"/>
        <w:tab w:val="right" w:pos="14287"/>
      </w:tabs>
    </w:pPr>
  </w:style>
  <w:style w:type="paragraph" w:styleId="af0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af4">
    <w:name w:val="table of figures"/>
    <w:uiPriority w:val="99"/>
    <w:unhideWhenUsed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link w:val="Heading1Char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/>
      <w:sz w:val="40"/>
      <w:szCs w:val="40"/>
      <w:lang w:bidi="ar-SA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/>
      <w:sz w:val="34"/>
      <w:szCs w:val="22"/>
      <w:lang w:bidi="ar-SA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/>
      <w:sz w:val="30"/>
      <w:szCs w:val="30"/>
      <w:lang w:bidi="ar-SA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/>
      <w:b/>
      <w:bCs/>
    </w:rPr>
  </w:style>
  <w:style w:type="character" w:customStyle="1" w:styleId="Heading6Char">
    <w:name w:val="Heading 6 Char"/>
    <w:link w:val="61"/>
    <w:uiPriority w:val="9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/>
      <w:b/>
      <w:bCs/>
      <w:i/>
      <w:iCs/>
    </w:rPr>
  </w:style>
  <w:style w:type="character" w:customStyle="1" w:styleId="Heading7Char">
    <w:name w:val="Heading 7 Char"/>
    <w:link w:val="71"/>
    <w:uiPriority w:val="9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/>
      <w:i/>
      <w:iCs/>
    </w:rPr>
  </w:style>
  <w:style w:type="character" w:customStyle="1" w:styleId="Heading8Char">
    <w:name w:val="Heading 8 Char"/>
    <w:link w:val="81"/>
    <w:uiPriority w:val="9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/>
      <w:i/>
      <w:iCs/>
      <w:sz w:val="21"/>
      <w:szCs w:val="21"/>
      <w:lang w:bidi="ar-SA"/>
    </w:rPr>
  </w:style>
  <w:style w:type="paragraph" w:styleId="af5">
    <w:name w:val="List Paragraph"/>
    <w:basedOn w:val="af6"/>
    <w:pPr>
      <w:ind w:left="720"/>
      <w:contextualSpacing/>
    </w:pPr>
  </w:style>
  <w:style w:type="paragraph" w:styleId="af7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/>
    </w:rPr>
  </w:style>
  <w:style w:type="character" w:customStyle="1" w:styleId="af8">
    <w:name w:val="Назва Знак"/>
    <w:uiPriority w:val="10"/>
    <w:rPr>
      <w:sz w:val="48"/>
      <w:szCs w:val="48"/>
      <w:lang w:bidi="ar-SA"/>
    </w:rPr>
  </w:style>
  <w:style w:type="character" w:customStyle="1" w:styleId="af9">
    <w:name w:val="Підзаголовок Знак"/>
    <w:uiPriority w:val="11"/>
    <w:rPr>
      <w:sz w:val="24"/>
      <w:szCs w:val="24"/>
      <w:lang w:bidi="ar-SA"/>
    </w:rPr>
  </w:style>
  <w:style w:type="paragraph" w:styleId="20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lang w:eastAsia="en-US" w:bidi="en-US"/>
    </w:rPr>
  </w:style>
  <w:style w:type="character" w:customStyle="1" w:styleId="22">
    <w:name w:val="Цитата 2 Знак"/>
    <w:link w:val="20"/>
    <w:uiPriority w:val="29"/>
    <w:rPr>
      <w:i/>
      <w:sz w:val="22"/>
      <w:szCs w:val="22"/>
      <w:lang w:val="uk-UA" w:eastAsia="en-US" w:bidi="en-US"/>
    </w:rPr>
  </w:style>
  <w:style w:type="paragraph" w:styleId="afa">
    <w:name w:val="Intense Quote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lang w:eastAsia="en-US" w:bidi="en-US"/>
    </w:rPr>
  </w:style>
  <w:style w:type="character" w:customStyle="1" w:styleId="afb">
    <w:name w:val="Выделенная цитата Знак"/>
    <w:link w:val="afa"/>
    <w:uiPriority w:val="30"/>
    <w:rPr>
      <w:i/>
      <w:sz w:val="22"/>
      <w:szCs w:val="22"/>
      <w:shd w:val="clear" w:color="auto" w:fill="F2F2F2"/>
      <w:lang w:val="uk-UA" w:eastAsia="en-US" w:bidi="en-US"/>
    </w:rPr>
  </w:style>
  <w:style w:type="paragraph" w:customStyle="1" w:styleId="10">
    <w:name w:val="Верхній колонтитул1"/>
    <w:link w:val="HeaderChar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 w:bidi="en-US"/>
    </w:rPr>
  </w:style>
  <w:style w:type="character" w:customStyle="1" w:styleId="HeaderChar">
    <w:name w:val="Header Char"/>
    <w:link w:val="10"/>
    <w:uiPriority w:val="99"/>
    <w:rPr>
      <w:sz w:val="22"/>
      <w:szCs w:val="22"/>
      <w:lang w:val="uk-UA" w:eastAsia="en-US" w:bidi="en-US"/>
    </w:rPr>
  </w:style>
  <w:style w:type="paragraph" w:customStyle="1" w:styleId="12">
    <w:name w:val="Нижній колонтитул1"/>
    <w:link w:val="FooterChar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 w:bidi="en-US"/>
    </w:rPr>
  </w:style>
  <w:style w:type="character" w:customStyle="1" w:styleId="FooterChar">
    <w:name w:val="Footer Char"/>
    <w:link w:val="12"/>
    <w:uiPriority w:val="99"/>
    <w:rPr>
      <w:sz w:val="22"/>
      <w:szCs w:val="22"/>
      <w:lang w:val="uk-UA" w:eastAsia="en-US" w:bidi="en-US"/>
    </w:rPr>
  </w:style>
  <w:style w:type="table" w:styleId="afc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Звичайна таблиця 2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Звичайна таблиця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Звичайна таблиця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Звичайна таблиця 5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я-сітка 1 (світл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я-сітка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я-сітка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я-сітка 4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я-сітка 5 (темн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я-сітка 6 (кольоров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я-сітка 7 (кольорова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я-список 1 (світл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я-список 2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я-список 3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я-список 4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Таблиця-список 5 (темн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я-список 6 (кольоров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я-список 7 (кольоровий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  <w:lang w:val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styleId="afe">
    <w:name w:val="footnote text"/>
    <w:link w:val="aff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f">
    <w:name w:val="Текст сноски Знак"/>
    <w:link w:val="afe"/>
    <w:uiPriority w:val="99"/>
    <w:semiHidden/>
    <w:rPr>
      <w:sz w:val="18"/>
      <w:szCs w:val="22"/>
      <w:lang w:bidi="ar-SA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lang w:eastAsia="en-US" w:bidi="en-US"/>
    </w:rPr>
  </w:style>
  <w:style w:type="paragraph" w:styleId="30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lang w:eastAsia="en-US" w:bidi="en-US"/>
    </w:rPr>
  </w:style>
  <w:style w:type="paragraph" w:styleId="40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lang w:eastAsia="en-US" w:bidi="en-US"/>
    </w:rPr>
  </w:style>
  <w:style w:type="paragraph" w:styleId="60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lang w:eastAsia="en-US" w:bidi="en-US"/>
    </w:rPr>
  </w:style>
  <w:style w:type="paragraph" w:styleId="70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lang w:eastAsia="en-US" w:bidi="en-US"/>
    </w:rPr>
  </w:style>
  <w:style w:type="paragraph" w:styleId="80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lang w:eastAsia="en-US" w:bidi="en-US"/>
    </w:rPr>
  </w:style>
  <w:style w:type="paragraph" w:styleId="90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lang w:eastAsia="en-US" w:bidi="en-US"/>
    </w:rPr>
  </w:style>
  <w:style w:type="paragraph" w:styleId="aff1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lang w:eastAsia="en-US" w:bidi="en-US"/>
    </w:rPr>
  </w:style>
  <w:style w:type="paragraph" w:customStyle="1" w:styleId="af6">
    <w:name w:val="Абзац списка Знак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color w:val="0000FF"/>
      <w:u w:val="single"/>
    </w:rPr>
  </w:style>
  <w:style w:type="character" w:customStyle="1" w:styleId="14">
    <w:name w:val="Шрифт абзацу за замовчуванням1"/>
  </w:style>
  <w:style w:type="table" w:customStyle="1" w:styleId="15">
    <w:name w:val="Звичайна таблиця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val="uk-UA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має списку1"/>
    <w:semiHidden/>
  </w:style>
  <w:style w:type="character" w:customStyle="1" w:styleId="17">
    <w:name w:val="Гіперпосилання1"/>
    <w:semiHidden/>
    <w:rPr>
      <w:color w:val="0000FF"/>
      <w:u w:val="single"/>
    </w:rPr>
  </w:style>
  <w:style w:type="paragraph" w:customStyle="1" w:styleId="18">
    <w:name w:val="Текст у виносці1"/>
    <w:basedOn w:val="af6"/>
    <w:link w:val="aff2"/>
    <w:semiHidden/>
    <w:pPr>
      <w:spacing w:after="0" w:line="240" w:lineRule="auto"/>
    </w:pPr>
    <w:rPr>
      <w:rFonts w:ascii="Segoe UI" w:hAnsi="Segoe UI"/>
      <w:color w:val="auto"/>
      <w:sz w:val="18"/>
      <w:szCs w:val="18"/>
      <w:u w:val="none"/>
      <w:lang w:eastAsia="en-US"/>
    </w:rPr>
  </w:style>
  <w:style w:type="character" w:customStyle="1" w:styleId="aff2">
    <w:name w:val="Текст у виносці Знак"/>
    <w:link w:val="18"/>
    <w:semiHidden/>
    <w:rPr>
      <w:rFonts w:ascii="Segoe UI" w:hAnsi="Segoe UI"/>
      <w:sz w:val="18"/>
      <w:szCs w:val="18"/>
      <w:lang w:val="uk-UA" w:eastAsia="en-US"/>
    </w:rPr>
  </w:style>
  <w:style w:type="table" w:customStyle="1" w:styleId="StGen0">
    <w:name w:val="StGen0"/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00">
    <w:name w:val="StGen0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Normal (Web)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table" w:customStyle="1" w:styleId="StGen1">
    <w:name w:val="StGen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4">
    <w:name w:val="Subtitle"/>
    <w:basedOn w:val="a"/>
    <w:next w:val="a"/>
    <w:pPr>
      <w:spacing w:before="200" w:after="200"/>
    </w:pPr>
    <w:rPr>
      <w:color w:val="000000"/>
      <w:sz w:val="24"/>
      <w:szCs w:val="24"/>
    </w:rPr>
  </w:style>
  <w:style w:type="table" w:customStyle="1" w:styleId="StGen2">
    <w:name w:val="StGen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EB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XBEfdYl0ZyrXzJ9VWbSIPzteQ==">CgMxLjAyDmguaW5qbng3OGw3em5sMghoLmdqZGd4czgAciExRU5OUkVNN1JfcWdsWEpDRGNyTDFQd2dSS0dTUklPNFA=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15250</Words>
  <Characters>8694</Characters>
  <Application>Microsoft Office Word</Application>
  <DocSecurity>0</DocSecurity>
  <Lines>72</Lines>
  <Paragraphs>47</Paragraphs>
  <ScaleCrop>false</ScaleCrop>
  <Company/>
  <LinksUpToDate>false</LinksUpToDate>
  <CharactersWithSpaces>23897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Skorohod</dc:creator>
  <cp:lastModifiedBy>Стародуб Л.О.</cp:lastModifiedBy>
  <cp:revision>19</cp:revision>
  <dcterms:created xsi:type="dcterms:W3CDTF">2025-11-03T14:14:00Z</dcterms:created>
  <dcterms:modified xsi:type="dcterms:W3CDTF">2025-11-29T14:53:00Z</dcterms:modified>
</cp:coreProperties>
</file>