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6379"/>
        <w:jc w:val="both"/>
        <w:rPr>
          <w:b w:val="0"/>
          <w:bCs w:val="0"/>
          <w:iCs/>
          <w:sz w:val="24"/>
          <w:szCs w:val="24"/>
        </w:rPr>
      </w:pPr>
      <w:r>
        <w:rPr>
          <w:rFonts w:eastAsia="Batang"/>
          <w:b w:val="0"/>
          <w:bCs w:val="0"/>
          <w:color w:val="000000" w:themeColor="text1"/>
          <w:sz w:val="24"/>
          <w:szCs w:val="24"/>
          <w:lang w:val="az-Cyrl-AZ" w:eastAsia="ru-RU"/>
        </w:rPr>
        <w:t xml:space="preserve">Д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одаток</w:t>
      </w:r>
      <w:r>
        <w:rPr>
          <w:b w:val="0"/>
          <w:bCs w:val="0"/>
          <w:iCs/>
          <w:sz w:val="24"/>
          <w:szCs w:val="24"/>
          <w:lang w:val="az-Cyrl-AZ"/>
        </w:rPr>
      </w:r>
    </w:p>
    <w:p>
      <w:pPr>
        <w:pBdr/>
        <w:spacing w:after="0" w:line="240" w:lineRule="auto"/>
        <w:ind w:left="6379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  <w:lang w:val="az-Cyrl-AZ" w:eastAsia="ru-RU"/>
        </w:rPr>
        <w:t xml:space="preserve">до рішення 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67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 сесії Менської міської ради 8 скликання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 </w:t>
      </w:r>
      <w:r>
        <w:rPr>
          <w:b w:val="0"/>
          <w:bCs w:val="0"/>
          <w:iCs/>
          <w:sz w:val="24"/>
          <w:szCs w:val="24"/>
          <w:lang w:val="az-Cyrl-AZ" w:eastAsia="ru-RU"/>
        </w:rPr>
      </w:r>
    </w:p>
    <w:p>
      <w:pPr>
        <w:pBdr/>
        <w:spacing w:after="0" w:line="240" w:lineRule="auto"/>
        <w:ind w:left="6379"/>
        <w:jc w:val="both"/>
        <w:rPr>
          <w:rFonts w:eastAsia="Batang" w:cs="Calibri"/>
          <w:b w:val="0"/>
          <w:bCs w:val="0"/>
          <w:sz w:val="24"/>
          <w:szCs w:val="24"/>
        </w:rPr>
      </w:pPr>
      <w:r>
        <w:rPr>
          <w:b w:val="0"/>
          <w:bCs w:val="0"/>
          <w:iCs/>
          <w:sz w:val="24"/>
          <w:szCs w:val="24"/>
          <w:lang w:val="az-Cyrl-AZ" w:eastAsia="ru-RU"/>
        </w:rPr>
        <w:t xml:space="preserve">19 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листопада 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202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5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 року  №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 </w:t>
      </w:r>
      <w:bookmarkStart w:id="0" w:name="_GoBack"/>
      <w:r>
        <w:rPr>
          <w:b w:val="0"/>
          <w:bCs w:val="0"/>
          <w:sz w:val="24"/>
          <w:szCs w:val="24"/>
        </w:rPr>
      </w:r>
      <w:bookmarkEnd w:id="0"/>
      <w:r>
        <w:rPr>
          <w:b w:val="0"/>
          <w:bCs w:val="0"/>
          <w:iCs/>
          <w:sz w:val="24"/>
          <w:szCs w:val="24"/>
          <w:lang w:val="az-Cyrl-AZ" w:eastAsia="ru-RU"/>
        </w:rPr>
        <w:t xml:space="preserve">682</w:t>
      </w:r>
      <w:r>
        <w:rPr>
          <w:b w:val="0"/>
          <w:bCs w:val="0"/>
          <w:iCs/>
          <w:sz w:val="24"/>
          <w:szCs w:val="24"/>
          <w:lang w:val="az-Cyrl-AZ" w:eastAsia="ru-RU"/>
        </w:rPr>
        <w:t xml:space="preserve"> </w:t>
      </w:r>
      <w:r>
        <w:rPr>
          <w:rFonts w:eastAsia="Batang" w:cs="Calibri"/>
          <w:b w:val="0"/>
          <w:bCs w:val="0"/>
          <w:sz w:val="24"/>
          <w:szCs w:val="24"/>
          <w:lang w:val="az-Cyrl-AZ"/>
        </w:rPr>
      </w:r>
    </w:p>
    <w:p>
      <w:pPr>
        <w:pBdr/>
        <w:spacing w:after="0" w:line="240" w:lineRule="auto"/>
        <w:ind w:left="6379"/>
        <w:jc w:val="both"/>
        <w:rPr>
          <w:rFonts w:eastAsia="Batang" w:cs="Calibri"/>
          <w:color w:val="000000" w:themeColor="text1"/>
          <w:sz w:val="44"/>
          <w:szCs w:val="44"/>
          <w:lang w:val="az-Cyrl-AZ"/>
        </w:rPr>
      </w:pPr>
      <w:r>
        <w:rPr>
          <w:rFonts w:eastAsia="Batang" w:cs="Calibri"/>
          <w:color w:val="000000" w:themeColor="text1"/>
          <w:sz w:val="44"/>
          <w:szCs w:val="44"/>
          <w:lang w:val="az-Cyrl-AZ"/>
        </w:rPr>
      </w:r>
      <w:r>
        <w:rPr>
          <w:rFonts w:eastAsia="Batang" w:cs="Calibri"/>
          <w:color w:val="000000" w:themeColor="text1"/>
          <w:sz w:val="44"/>
          <w:szCs w:val="44"/>
          <w:lang w:val="az-Cyrl-AZ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  <w:lang w:val="uk-UA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ПРОГРАМА </w:t>
      </w:r>
      <w:r>
        <w:rPr>
          <w:rFonts w:eastAsia="Calibri"/>
          <w:b/>
          <w:bCs/>
          <w:color w:val="000000" w:themeColor="text1"/>
          <w:sz w:val="36"/>
          <w:szCs w:val="36"/>
          <w:lang w:val="uk-UA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розвитку позашкільної освіти </w:t>
      </w: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 на 2025 – 2027 роки </w:t>
      </w:r>
      <w:r>
        <w:rPr>
          <w:rFonts w:eastAsia="Calibri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</w:rPr>
      </w:pPr>
      <w:r>
        <w:rPr>
          <w:rFonts w:eastAsia="Batang" w:cs="Calibri"/>
          <w:color w:val="000000" w:themeColor="text1"/>
          <w:sz w:val="52"/>
          <w:szCs w:val="52"/>
        </w:rPr>
      </w:r>
      <w:r>
        <w:rPr>
          <w:rFonts w:eastAsia="Batang" w:cs="Calibri"/>
          <w:color w:val="000000" w:themeColor="text1"/>
          <w:sz w:val="52"/>
          <w:szCs w:val="52"/>
        </w:rPr>
      </w:r>
    </w:p>
    <w:p>
      <w:pPr>
        <w:pBdr/>
        <w:spacing w:after="120" w:line="240" w:lineRule="auto"/>
        <w:ind/>
        <w:jc w:val="center"/>
        <w:rPr>
          <w:rFonts w:eastAsia="Batang" w:cs="Calibri"/>
          <w:b/>
          <w:bCs/>
          <w:color w:val="000000" w:themeColor="text1"/>
          <w:sz w:val="36"/>
          <w:szCs w:val="36"/>
        </w:rPr>
      </w:pPr>
      <w:r>
        <w:rPr>
          <w:rFonts w:eastAsia="Batang" w:cs="Calibri"/>
          <w:b/>
          <w:bCs/>
          <w:color w:val="000000" w:themeColor="text1"/>
          <w:sz w:val="36"/>
          <w:szCs w:val="36"/>
        </w:rPr>
      </w:r>
      <w:r>
        <w:rPr>
          <w:rFonts w:eastAsia="Batang" w:cs="Calibri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rPr>
          <w:rFonts w:eastAsia="Batang" w:cs="Calibri"/>
          <w:b/>
          <w:bCs/>
          <w:color w:val="000000" w:themeColor="text1"/>
          <w:sz w:val="28"/>
          <w:szCs w:val="28"/>
        </w:rPr>
      </w:pPr>
      <w:r>
        <w:rPr>
          <w:rFonts w:eastAsia="Batang" w:cs="Calibri"/>
          <w:b/>
          <w:bCs/>
          <w:color w:val="000000" w:themeColor="text1"/>
          <w:sz w:val="28"/>
          <w:szCs w:val="28"/>
        </w:rPr>
      </w:r>
      <w:r>
        <w:rPr>
          <w:rFonts w:eastAsia="Batang" w:cs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Мена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202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5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t xml:space="preserve">1. Паспорт Програми</w:t>
      </w: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76"/>
        <w:gridCol w:w="3188"/>
        <w:gridCol w:w="55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/>
            <w:bookmarkStart w:id="1" w:name="_Hlk183442227"/>
            <w:r>
              <w:rPr>
                <w:sz w:val="28"/>
                <w:szCs w:val="28"/>
                <w:lang w:eastAsia="ru-RU"/>
              </w:rPr>
              <w:t xml:space="preserve">1.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Назва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tabs>
                <w:tab w:val="left" w:leader="none" w:pos="2400"/>
              </w:tabs>
              <w:spacing w:after="0" w:line="240" w:lineRule="auto"/>
              <w:ind/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Програма розвитку позашкільної освіти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r>
          </w:p>
          <w:p>
            <w:pPr>
              <w:pBdr/>
              <w:tabs>
                <w:tab w:val="left" w:leader="none" w:pos="2400"/>
              </w:tabs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на 2025 – 2027 роки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 w:eastAsia="ru-RU"/>
              </w:rPr>
              <w:t xml:space="preserve">Закони України «Про освіту»,  «Про позашкільну освіту»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Розробник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Учасники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 xml:space="preserve">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рада, відділ освіти Менської міської ра</w:t>
            </w:r>
            <w:r>
              <w:rPr>
                <w:sz w:val="28"/>
                <w:szCs w:val="28"/>
                <w:lang w:val="uk-UA" w:eastAsia="ru-RU"/>
              </w:rPr>
              <w:t xml:space="preserve">ди,  фінансове управління Менської міської ради, Комунальна установа «Центр професійного розвитку педагогічних працівників Менської міської ради», Комунальна установа «Центр з обслуговування освітніх установ та закладів освіти», заклади позашкільної освіти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7.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 – 2027 роки</w:t>
            </w: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Перелік бюджетів, задіяних у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Місцевий бюджет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Всього – </w:t>
            </w:r>
            <w:r>
              <w:rPr>
                <w:b/>
                <w:bCs/>
                <w:sz w:val="28"/>
                <w:szCs w:val="28"/>
                <w:shd w:val="clear" w:color="auto" w:fill="ffffff" w:themeFill="background1"/>
                <w:lang w:val="uk-UA"/>
              </w:rPr>
              <w:t xml:space="preserve">877 660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 w:hanging="5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2025 рік  –  </w:t>
            </w:r>
            <w:r>
              <w:rPr>
                <w:b/>
                <w:sz w:val="28"/>
                <w:szCs w:val="28"/>
                <w:lang w:val="uk-UA"/>
              </w:rPr>
              <w:t xml:space="preserve">275 660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 w:hanging="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2026 рік  –  </w:t>
            </w:r>
            <w:r>
              <w:rPr>
                <w:b/>
                <w:sz w:val="28"/>
                <w:szCs w:val="28"/>
                <w:lang w:val="uk-UA"/>
              </w:rPr>
              <w:t xml:space="preserve">287 000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5"/>
              <w:jc w:val="center"/>
              <w:rPr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2027 рік  –  </w:t>
            </w:r>
            <w:r>
              <w:rPr>
                <w:b/>
                <w:sz w:val="28"/>
                <w:szCs w:val="28"/>
                <w:lang w:val="uk-UA"/>
              </w:rPr>
              <w:t xml:space="preserve">315 000</w:t>
            </w:r>
            <w:bookmarkEnd w:id="1"/>
            <w:r/>
            <w:r>
              <w:rPr>
                <w:b/>
                <w:color w:val="ff0000"/>
                <w:sz w:val="28"/>
                <w:szCs w:val="28"/>
                <w:lang w:val="uk-UA"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/>
        <w:spacing/>
        <w:ind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b/>
          <w:color w:val="000000" w:themeColor="text1"/>
          <w:sz w:val="28"/>
          <w:szCs w:val="28"/>
        </w:rPr>
      </w:r>
    </w:p>
    <w:p>
      <w:pPr>
        <w:keepNext w:val="true"/>
        <w:widowControl w:val="false"/>
        <w:suppressLineNumbers w:val="false"/>
        <w:pBdr/>
        <w:tabs>
          <w:tab w:val="right" w:leader="none" w:pos="7767"/>
        </w:tabs>
        <w:spacing w:after="0" w:line="240" w:lineRule="auto"/>
        <w:ind w:firstLine="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2. </w:t>
      </w:r>
      <w:r>
        <w:rPr>
          <w:b/>
          <w:color w:val="212529"/>
          <w:sz w:val="28"/>
          <w:szCs w:val="28"/>
          <w:lang w:val="uk-UA" w:eastAsia="uk-UA"/>
        </w:rPr>
        <w:t xml:space="preserve">Визначення проблеми, на розв'язання 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  <w:t xml:space="preserve">якої спрямована Програма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 w:eastAsia="ru-RU"/>
        </w:rPr>
        <w:t xml:space="preserve">Програма розвитку позашкільної освіти на 2025-2027 роки (далі - Програма) розроблена на виконання</w:t>
      </w:r>
      <w:r>
        <w:rPr>
          <w:sz w:val="28"/>
          <w:szCs w:val="28"/>
          <w:lang w:val="uk-UA" w:eastAsia="ru-RU"/>
        </w:rPr>
        <w:t xml:space="preserve"> Законів України «Про освіту» та «Про позашкільну освіту».</w:t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Дана програма спрямована на створення рівного доступу до отримання дітьми якісної позашкільної освіти, поліпшення матеріально-технічної та навчальної бази закл</w:t>
      </w:r>
      <w:r>
        <w:rPr>
          <w:sz w:val="28"/>
          <w:szCs w:val="28"/>
          <w:lang w:val="uk-UA" w:eastAsia="ru-RU"/>
        </w:rPr>
        <w:t xml:space="preserve">адів позашкільної роботи, забезпечення формування інтелектуального потенціалу шляхом створення оптимальних умов для виявлення обдарованої молоді і надання їй підтримки у розвитку творчого потенціалу, самореалізації  постійного духовного самовдосконалення. </w:t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Важливу роль у вихованні підростаючого покоління відіграє позашкільна освіта, яка на сьогодні є чи не єдиною формою, де дитина мож</w:t>
      </w:r>
      <w:r>
        <w:rPr>
          <w:sz w:val="28"/>
          <w:szCs w:val="28"/>
          <w:lang w:val="uk-UA" w:eastAsia="ru-RU"/>
        </w:rPr>
        <w:t xml:space="preserve">е реалізуватися в творчості. До того ж, заклади позашкільної  освіти  нерідко виступають осередками порятунку від занедбаності в сім’ї, байдужості дорослих, виправлення уже набутого негативного досвіду, відволікають підлітків від негативного впливу вулиці.</w:t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Позашкільна освіта є невід’ємним складником системи освіти, визначеної Конституцією України, законами України «Про освіту», «Про позашкільну освіту» і спрямована на розвиток здібносте</w:t>
      </w:r>
      <w:r>
        <w:rPr>
          <w:sz w:val="28"/>
          <w:szCs w:val="28"/>
          <w:lang w:val="uk-UA"/>
        </w:rPr>
        <w:t xml:space="preserve">й дітей та 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необхідних для їх соціалізації, подальшої самореалізації та/або професійної діяльності.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системі позашкільної освіти Менської територіальної громади функціонує 3 закла</w:t>
      </w:r>
      <w:r>
        <w:rPr>
          <w:sz w:val="28"/>
          <w:szCs w:val="28"/>
          <w:lang w:val="uk-UA"/>
        </w:rPr>
        <w:t xml:space="preserve">ди позашкільної освіти: Менський Центр дитячої та юнацької творчості, Менська дитячо-юнацька спортивна школа, Менська станція юних техніків, у яких визначені основні напрями освітньої діяльності закладів позашкільної освіти: художньо-естетичний, музичний, </w:t>
      </w:r>
      <w:r>
        <w:rPr>
          <w:sz w:val="28"/>
          <w:szCs w:val="28"/>
          <w:lang w:val="uk-UA"/>
        </w:rPr>
        <w:t xml:space="preserve">декоративно</w:t>
      </w:r>
      <w:r>
        <w:rPr>
          <w:sz w:val="28"/>
          <w:szCs w:val="28"/>
          <w:lang w:val="uk-UA"/>
        </w:rPr>
        <w:t xml:space="preserve"> -ужиткового мистецтва, спортивний, гуманітарний, науково-технічний тощо. 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01.09.2024 у  Менському центрі дитячої та юнацької творчості -  28 груп, в яких 374 дітей, у Менські</w:t>
      </w:r>
      <w:r>
        <w:rPr>
          <w:sz w:val="28"/>
          <w:szCs w:val="28"/>
          <w:lang w:val="uk-UA"/>
        </w:rPr>
        <w:t xml:space="preserve">й станції юних техніків - 30 груп, в них займаються 420 учнів, у Менській дитячо-юнацькій спортивній школі -  13 груп, в яких  займається 162 дітей. Всього 1170 дітей громади охоплені заняттями  в закладах позашкільної освіти (враховуючи КЗ «Менська ДМШ»).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накопиченому досвіду і традиціям,  заклади </w:t>
      </w:r>
      <w:r>
        <w:rPr>
          <w:sz w:val="28"/>
          <w:szCs w:val="28"/>
          <w:lang w:val="uk-UA"/>
        </w:rPr>
        <w:t xml:space="preserve">позашкільної освіти Менської територіальної громади  наполегливо працюють над розвитком здібностей дітей у різних сферах, надають здобувачам освіти можливості поглиблення знань, сприяють професійній підготовці, досягаючи при цьому дуже високих результатів.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заклади позашкільної освіти Менської міської ради, не зважаючи на воєнний стан в Україні,  протягом 2022 – 2024 років  мали велику результативність роботи, вихованці брали участь в</w:t>
      </w:r>
      <w:r>
        <w:rPr>
          <w:sz w:val="28"/>
          <w:szCs w:val="28"/>
          <w:lang w:val="uk-UA" w:eastAsia="ru-RU"/>
        </w:rPr>
        <w:t xml:space="preserve"> Міжнародних, Всеукраїнських, обласних</w:t>
      </w:r>
      <w:r>
        <w:rPr>
          <w:sz w:val="28"/>
          <w:szCs w:val="28"/>
          <w:lang w:val="uk-UA"/>
        </w:rPr>
        <w:t xml:space="preserve"> фестивалях, конкурсах, змаганнях і займали призові місця.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Менському центрі дитячої та юнацької творчості</w:t>
      </w:r>
      <w:r>
        <w:rPr>
          <w:sz w:val="28"/>
          <w:szCs w:val="28"/>
          <w:lang w:val="uk-UA"/>
        </w:rPr>
        <w:t xml:space="preserve"> діє три творчих колективи, це -  танцювальні «Веселий каблучок», «Барвінок» та зразковий спортивно-цирковий колектив «Фієста». У 2021 році  було присвоєно почесне звання «Народний художній колектив» спортивно-цирковому колективу «Фієста», керівник Анжела </w:t>
      </w:r>
      <w:r>
        <w:rPr>
          <w:sz w:val="28"/>
          <w:szCs w:val="28"/>
          <w:lang w:val="uk-UA"/>
        </w:rPr>
        <w:t xml:space="preserve">Цигипа</w:t>
      </w:r>
      <w:r>
        <w:rPr>
          <w:sz w:val="28"/>
          <w:szCs w:val="28"/>
          <w:lang w:val="uk-UA"/>
        </w:rPr>
        <w:t xml:space="preserve">, у 2020 році присвоєно  почесне звання «Зразковий художній колектив»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танцювальному колективу «Барвінок», керівник Вікторія </w:t>
      </w:r>
      <w:r>
        <w:rPr>
          <w:sz w:val="28"/>
          <w:szCs w:val="28"/>
          <w:lang w:val="uk-UA"/>
        </w:rPr>
        <w:t xml:space="preserve">Кулагіна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 Менської станції юних техніків навчаються робити вироби власними руками, проте навчання спрямоване не лише на засвоєння вихованцем певного багажу знань, умінь та навичок, а й на розвиток його професійних </w:t>
      </w:r>
      <w:r>
        <w:rPr>
          <w:sz w:val="28"/>
          <w:szCs w:val="28"/>
          <w:lang w:val="uk-UA"/>
        </w:rPr>
        <w:t xml:space="preserve">компетентностей</w:t>
      </w:r>
      <w:r>
        <w:rPr>
          <w:sz w:val="28"/>
          <w:szCs w:val="28"/>
          <w:lang w:val="uk-UA"/>
        </w:rPr>
        <w:t xml:space="preserve">. СЮТ це єдиний в громаді  заклад дитячої творчості, де діти займаються технічним спортом (картинги, авіамодельний гуртки).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У Менській дитячо-юнацькій спортивній школі було і є спрямування зусиль </w:t>
      </w:r>
      <w:r>
        <w:rPr>
          <w:sz w:val="28"/>
          <w:szCs w:val="28"/>
          <w:lang w:val="uk-UA" w:eastAsia="ru-RU"/>
        </w:rPr>
        <w:t xml:space="preserve">тренерсько</w:t>
      </w:r>
      <w:r>
        <w:rPr>
          <w:sz w:val="28"/>
          <w:szCs w:val="28"/>
          <w:lang w:val="uk-UA" w:eastAsia="ru-RU"/>
        </w:rPr>
        <w:t xml:space="preserve">-викладацького складу на зміцнення здоров</w:t>
      </w:r>
      <w:r>
        <w:rPr>
          <w:sz w:val="28"/>
          <w:szCs w:val="28"/>
          <w:lang w:val="uk-UA" w:eastAsia="ru-RU"/>
        </w:rPr>
        <w:t xml:space="preserve">’я, розвиток фізичних, морально-вольових та інтелектуальних здібностей дитини з метою формування гармонійної особистості. Щороку вихованці ДЮСШ беруть участь у Всеукраїнських змаганнях, Чемпіонатах України та Чернігівської області, де беруть призові місця.</w:t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Завдання </w:t>
      </w:r>
      <w:r>
        <w:rPr>
          <w:b/>
          <w:sz w:val="28"/>
          <w:szCs w:val="28"/>
          <w:lang w:val="uk-UA"/>
        </w:rPr>
        <w:t xml:space="preserve">програми</w:t>
      </w:r>
      <w:r>
        <w:rPr>
          <w:b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 w:eastAsia="ru-RU"/>
        </w:rPr>
      </w:pPr>
      <w:r>
        <w:rPr>
          <w:sz w:val="28"/>
          <w:szCs w:val="28"/>
          <w:shd w:val="clear" w:color="auto" w:fill="ffffff"/>
          <w:lang w:val="uk-UA"/>
        </w:rPr>
        <w:t xml:space="preserve">У Менській ТГ заклади позашкільної освіти набувають особливої популярн</w:t>
      </w:r>
      <w:r>
        <w:rPr>
          <w:sz w:val="28"/>
          <w:szCs w:val="28"/>
          <w:shd w:val="clear" w:color="auto" w:fill="ffffff"/>
          <w:lang w:val="uk-UA" w:eastAsia="ru-RU"/>
        </w:rPr>
        <w:t xml:space="preserve">ості, як центри розвитку творчої особистості, її самореалізації та професійного самовизначення.  </w:t>
      </w:r>
      <w:r>
        <w:rPr>
          <w:sz w:val="28"/>
          <w:szCs w:val="28"/>
          <w:shd w:val="clear" w:color="auto" w:fill="ffffff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ru-RU"/>
        </w:rPr>
        <w:t xml:space="preserve">На даному етапі організація і проведення освітньої роботи з учнівською молоддю у закладах позашкільної освіти </w:t>
      </w:r>
      <w:r>
        <w:rPr>
          <w:bCs/>
          <w:sz w:val="28"/>
          <w:szCs w:val="28"/>
          <w:lang w:val="uk-UA" w:eastAsia="ru-RU"/>
        </w:rPr>
        <w:t xml:space="preserve">ускладнюється</w:t>
      </w:r>
      <w:r>
        <w:rPr>
          <w:bCs/>
          <w:sz w:val="28"/>
          <w:szCs w:val="28"/>
          <w:lang w:val="uk-UA" w:eastAsia="ru-RU"/>
        </w:rPr>
        <w:t xml:space="preserve"> слабким станом матеріально-технічної бази закладів, що впливає на якісне проведення гурткової роботи, відсутністю не</w:t>
      </w:r>
      <w:r>
        <w:rPr>
          <w:bCs/>
          <w:sz w:val="28"/>
          <w:szCs w:val="28"/>
          <w:lang w:val="uk-UA" w:eastAsia="ru-RU"/>
        </w:rPr>
        <w:t xml:space="preserve">обхідного технічного обладнання, туристичного спорядження, сценічного одягу, суттєво знижує результативність позашкільної освіти, впливає на рівень роботи даних  закладів освіти. Більшість витрат здійснюється за рахунок спонсорських та батьківських коштів.</w:t>
      </w:r>
      <w:r>
        <w:rPr>
          <w:bCs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Для забезпечення широкого спектру потреб вихованців позашкільних навчальних закладів актуальним є питання забезпеченням сучасною комп’ютерною технікою, ліцензійними електронн</w:t>
      </w:r>
      <w:r>
        <w:rPr>
          <w:sz w:val="28"/>
          <w:szCs w:val="28"/>
          <w:lang w:val="uk-UA" w:eastAsia="ru-RU"/>
        </w:rPr>
        <w:t xml:space="preserve">ими засобами навчального призначення, мультимедійним обладнанням. Система позашкільної освіти потребує подальшого розвитку, а саме:  мережі гуртків, секцій, творчих об’єднань, модернізації матеріально-технічного, науково-методичного, кадрового забезпечення</w:t>
      </w:r>
      <w:r>
        <w:rPr>
          <w:color w:val="000000" w:themeColor="text1"/>
          <w:sz w:val="28"/>
          <w:szCs w:val="28"/>
          <w:lang w:val="uk-UA" w:eastAsia="ru-RU"/>
        </w:rPr>
        <w:t xml:space="preserve">.</w:t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Основ</w:t>
      </w:r>
      <w:r>
        <w:rPr>
          <w:color w:val="000000" w:themeColor="text1"/>
          <w:sz w:val="28"/>
          <w:szCs w:val="28"/>
          <w:lang w:val="uk-UA" w:eastAsia="ru-RU"/>
        </w:rPr>
        <w:t xml:space="preserve">ними завданнями Програми є: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удосконалення та розвиток мережі гуртків закладів 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створення умов для доступності дітей і молоді до якісної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вивчення проблемних питань щодо виховання молоді за сучасних соціальних умов;</w:t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забезпечення розвитку системи підготовки (перепідготовки) педагогічних кадрів для закладів позашкільної освіти різних типів</w:t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keepNext w:val="true"/>
        <w:widowControl w:val="false"/>
        <w:suppressLineNumbers w:val="false"/>
        <w:pBdr/>
        <w:tabs>
          <w:tab w:val="right" w:leader="none" w:pos="7767"/>
        </w:tabs>
        <w:spacing w:after="0" w:line="240" w:lineRule="auto"/>
        <w:ind w:firstLine="0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4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. 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Мета  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Програми</w:t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Метою цієї Програми є вдосконалення позашкільної освіти шляхом надання п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ідтримки та забезпечення розвитку, створення додаткових можливостей для духовного, інтелектуального і фізичного розвитку осіб, які бажають здобути позашкільну освіту. </w:t>
      </w:r>
      <w:r>
        <w:rPr>
          <w:color w:val="000000" w:themeColor="text1"/>
          <w:sz w:val="28"/>
          <w:szCs w:val="28"/>
          <w:lang w:val="uk-UA" w:eastAsia="ru-RU"/>
        </w:rPr>
        <w:t xml:space="preserve">Вдосконалити та розвинути мережу гуртків, клубів, творчих об’єднань тощо у  закладах позашкільної освіти для забезпечення інтересів та розширення можливостей дітей громади; зміцнити матеріально-технічну базу закладів позашкільної освіти.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</w:r>
    </w:p>
    <w:p>
      <w:pPr>
        <w:pBdr/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0"/>
        <w:jc w:val="center"/>
        <w:rPr>
          <w:b/>
          <w:bCs/>
          <w:color w:val="212529"/>
          <w:sz w:val="28"/>
          <w:szCs w:val="28"/>
          <w:lang w:val="uk-UA" w:eastAsia="uk-UA"/>
          <w14:ligatures w14:val="none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5</w:t>
      </w:r>
      <w:r>
        <w:rPr>
          <w:b/>
          <w:color w:val="212529"/>
          <w:sz w:val="28"/>
          <w:szCs w:val="28"/>
          <w:lang w:val="uk-UA" w:eastAsia="uk-UA"/>
        </w:rPr>
        <w:t xml:space="preserve">. Шл</w:t>
      </w:r>
      <w:r>
        <w:rPr>
          <w:b/>
          <w:bCs/>
          <w:color w:val="212529"/>
          <w:sz w:val="28"/>
          <w:szCs w:val="28"/>
          <w:lang w:val="uk-UA" w:eastAsia="uk-UA"/>
        </w:rPr>
        <w:t xml:space="preserve">яхи і способи розв'язання проблеми, </w:t>
      </w:r>
      <w:r>
        <w:rPr>
          <w:b/>
          <w:bCs/>
          <w:color w:val="212529"/>
          <w:sz w:val="28"/>
          <w:szCs w:val="28"/>
          <w:lang w:val="uk-UA" w:eastAsia="uk-UA"/>
        </w:rPr>
        <w:t xml:space="preserve">строк</w:t>
      </w:r>
      <w:r>
        <w:rPr>
          <w:b/>
          <w:color w:val="212529"/>
          <w:sz w:val="28"/>
          <w:szCs w:val="28"/>
          <w:lang w:val="uk-UA" w:eastAsia="uk-UA"/>
        </w:rPr>
        <w:t xml:space="preserve"> виконання Програми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bCs/>
          <w:color w:val="212529"/>
          <w:sz w:val="28"/>
          <w:szCs w:val="28"/>
          <w:lang w:val="uk-UA"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b/>
          <w:color w:val="212529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Програма розрахована на 2025-2027 роки.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Реалізація даної програми  має здійснюватися шляхом </w:t>
      </w:r>
      <w:r>
        <w:rPr>
          <w:color w:val="000000" w:themeColor="text1"/>
          <w:sz w:val="28"/>
          <w:szCs w:val="28"/>
          <w:lang w:val="uk-UA" w:eastAsia="ru-RU"/>
        </w:rPr>
        <w:t xml:space="preserve">удосконалення та розвитку мережі гуртків закладів</w:t>
      </w:r>
      <w:r>
        <w:rPr>
          <w:color w:val="000000" w:themeColor="text1"/>
          <w:sz w:val="28"/>
          <w:szCs w:val="28"/>
          <w:lang w:val="uk-UA" w:eastAsia="ru-RU"/>
        </w:rPr>
        <w:t xml:space="preserve">  позашкільної освіти; створення умов для доступності дітей і молоді до якісної позашкільної освіти, в тому числі і в сільській місцевості; 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  <w:t xml:space="preserve">забезпечення</w:t>
      </w:r>
      <w:r>
        <w:rPr>
          <w:color w:val="000000" w:themeColor="text1"/>
          <w:sz w:val="28"/>
          <w:szCs w:val="28"/>
          <w:lang w:val="uk-UA" w:eastAsia="ru-RU"/>
        </w:rPr>
        <w:t xml:space="preserve"> розвитку системи підготовки (перепідготовки) педагогічних кадрів для закладів позашкільної освіти різних типів; поглиблення міжнародного співробітництва з питань позашкільної освіти; удосконалення системи виявлення і підтримки обдарованої учнівської молод</w:t>
      </w:r>
      <w:r>
        <w:rPr>
          <w:color w:val="000000" w:themeColor="text1"/>
          <w:sz w:val="28"/>
          <w:szCs w:val="28"/>
          <w:lang w:val="uk-UA" w:eastAsia="ru-RU"/>
        </w:rPr>
        <w:t xml:space="preserve">і, стимулювання її творчого потенціалу; сприяння участі вихованців закладів позашкільної освіти, творчих колективів у різноманітних конкурсах, фестивалях, урочистих заходах, спортивних змаганнях тощо; розвитку і підтримки роботи гуртків технічного напряму.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</w:t>
      </w:r>
      <w:r>
        <w:rPr>
          <w:b/>
          <w:bCs/>
          <w:color w:val="212529"/>
          <w:sz w:val="28"/>
          <w:szCs w:val="28"/>
          <w:lang w:val="uk-UA" w:eastAsia="uk-UA"/>
        </w:rPr>
        <w:t xml:space="preserve">Очікувані </w:t>
      </w:r>
      <w:r>
        <w:rPr>
          <w:b/>
          <w:color w:val="212529"/>
          <w:sz w:val="28"/>
          <w:szCs w:val="28"/>
          <w:lang w:val="uk-UA" w:eastAsia="uk-UA"/>
        </w:rPr>
        <w:t xml:space="preserve">результати виконання Програми, визначення  її </w:t>
      </w:r>
      <w:r>
        <w:rPr>
          <w:b/>
          <w:color w:val="212529"/>
          <w:sz w:val="28"/>
          <w:szCs w:val="28"/>
          <w:lang w:val="uk-UA" w:eastAsia="uk-UA"/>
        </w:rPr>
        <w:t xml:space="preserve">ефективності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Виконання Програми дасть змогу: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створити умови для подальшого розвитку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удосконалити та розвинути мережу гуртків, клубів, творчих об’єднань тощо у  закладах позашкільної освіти; </w:t>
      </w: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зміцнити матеріально-технічну базу закладів позашкільної освіти;</w:t>
      </w:r>
      <w:r>
        <w:rPr>
          <w:color w:val="000000" w:themeColor="text1"/>
          <w:sz w:val="28"/>
          <w:szCs w:val="28"/>
        </w:rPr>
      </w:r>
      <w:r/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збільшити охоплення дітей позашкільною освітою до 70% з метою задоволення їх </w:t>
      </w:r>
      <w:r>
        <w:rPr>
          <w:color w:val="000000" w:themeColor="text1"/>
          <w:sz w:val="28"/>
          <w:szCs w:val="28"/>
          <w:lang w:val="uk-UA" w:eastAsia="ru-RU"/>
        </w:rPr>
        <w:t xml:space="preserve">освітньо</w:t>
      </w:r>
      <w:r>
        <w:rPr>
          <w:color w:val="000000" w:themeColor="text1"/>
          <w:sz w:val="28"/>
          <w:szCs w:val="28"/>
          <w:lang w:val="uk-UA" w:eastAsia="ru-RU"/>
        </w:rPr>
        <w:t xml:space="preserve">-культурних потреб, а також потреб у професійному самовизначенні і творчій самореалізації;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забезпечити умови підвищення кваліфікації педагогічних кадрів закладів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підвищити рівень проведення масових заходів;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удосконалити систему виявлення та підтримки обдарованої учнівської молоді;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підвищити зацікавленість вихованців та керівників гуртків позашкільних закладів через щорічне преміювання переможців різних конкурсів та змагань.</w:t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</w:r>
      <w:r>
        <w:rPr>
          <w:b/>
          <w:color w:val="212529"/>
          <w:sz w:val="28"/>
          <w:szCs w:val="28"/>
          <w:lang w:eastAsia="uk-UA"/>
        </w:rPr>
      </w:r>
    </w:p>
    <w:p>
      <w:pPr>
        <w:suppressLineNumbers w:val="false"/>
        <w:pBdr/>
        <w:spacing w:after="0" w:line="240" w:lineRule="auto"/>
        <w:ind w:firstLine="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  <w:t xml:space="preserve">7.  </w:t>
      </w:r>
      <w:r>
        <w:rPr>
          <w:b/>
          <w:color w:val="212529"/>
          <w:sz w:val="28"/>
          <w:szCs w:val="28"/>
          <w:lang w:val="uk-UA" w:eastAsia="uk-UA"/>
        </w:rPr>
        <w:t xml:space="preserve">Оцінка фінансових,  матеріально-технічних, трудових ресурсів, </w:t>
      </w:r>
      <w:r>
        <w:rPr>
          <w:b/>
          <w:color w:val="212529"/>
          <w:sz w:val="28"/>
          <w:szCs w:val="28"/>
          <w:lang w:val="uk-UA" w:eastAsia="uk-UA"/>
        </w:rPr>
        <w:t xml:space="preserve">необхідних для виконання Програми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 </w:t>
      </w:r>
      <w:r>
        <w:rPr>
          <w:rFonts w:eastAsia="Batang"/>
          <w:sz w:val="28"/>
          <w:szCs w:val="28"/>
          <w:lang w:val="uk-UA" w:eastAsia="ru-RU"/>
        </w:rPr>
        <w:t xml:space="preserve">При цьому обсяг коштів визначається під час формування бюджету з урахуванням його фінансових можливостей та може змінюватися в процесі виконання бюджету при внесенні змін до нього.  </w:t>
      </w:r>
      <w:r>
        <w:rPr>
          <w:rFonts w:eastAsia="Batang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Прогнозований обсяг коштів, що планується залучити до фінансування, передбачається  у  сумі  </w:t>
      </w:r>
      <w:r>
        <w:rPr>
          <w:sz w:val="28"/>
          <w:szCs w:val="28"/>
          <w:shd w:val="clear" w:color="auto" w:fill="ffffff"/>
          <w:lang w:val="uk-UA" w:eastAsia="uk-UA"/>
        </w:rPr>
        <w:t xml:space="preserve">8</w:t>
      </w:r>
      <w:r>
        <w:rPr>
          <w:sz w:val="28"/>
          <w:szCs w:val="28"/>
          <w:shd w:val="clear" w:color="auto" w:fill="ffffff"/>
          <w:lang w:val="uk-UA" w:eastAsia="uk-UA"/>
        </w:rPr>
        <w:t xml:space="preserve">77</w:t>
      </w:r>
      <w:r>
        <w:rPr>
          <w:sz w:val="28"/>
          <w:szCs w:val="28"/>
          <w:shd w:val="clear" w:color="auto" w:fill="ffffff"/>
          <w:lang w:val="uk-UA" w:eastAsia="uk-UA"/>
        </w:rPr>
        <w:t xml:space="preserve"> </w:t>
      </w:r>
      <w:r>
        <w:rPr>
          <w:sz w:val="28"/>
          <w:szCs w:val="28"/>
          <w:shd w:val="clear" w:color="auto" w:fill="ffffff"/>
          <w:lang w:val="uk-UA" w:eastAsia="uk-UA"/>
        </w:rPr>
        <w:t xml:space="preserve">66</w:t>
      </w:r>
      <w:r>
        <w:rPr>
          <w:sz w:val="28"/>
          <w:szCs w:val="28"/>
          <w:shd w:val="clear" w:color="auto" w:fill="ffffff"/>
          <w:lang w:val="uk-UA" w:eastAsia="uk-UA"/>
        </w:rPr>
        <w:t xml:space="preserve">0 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грн.  З них  </w:t>
      </w:r>
      <w:r>
        <w:rPr>
          <w:sz w:val="28"/>
          <w:szCs w:val="28"/>
          <w:shd w:val="clear" w:color="auto" w:fill="ffffff"/>
          <w:lang w:val="uk-UA" w:eastAsia="uk-UA"/>
        </w:rPr>
        <w:t xml:space="preserve">7</w:t>
      </w:r>
      <w:r>
        <w:rPr>
          <w:sz w:val="28"/>
          <w:szCs w:val="28"/>
          <w:shd w:val="clear" w:color="auto" w:fill="ffffff"/>
          <w:lang w:val="uk-UA" w:eastAsia="uk-UA"/>
        </w:rPr>
        <w:t xml:space="preserve">36</w:t>
      </w: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66</w:t>
      </w:r>
      <w:r>
        <w:rPr>
          <w:sz w:val="28"/>
          <w:szCs w:val="28"/>
          <w:shd w:val="clear" w:color="auto" w:fill="ffffff"/>
          <w:lang w:val="uk-UA" w:eastAsia="uk-UA"/>
        </w:rPr>
        <w:t xml:space="preserve">0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грн на  преміювання,    141 000 грн на інші видатки.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Розмір фінансового забезпечення Програми може змінюватися залежно від можливостей бюджету.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 </w:t>
      </w:r>
      <w:r>
        <w:rPr>
          <w:b/>
          <w:bCs/>
          <w:color w:val="212529"/>
          <w:sz w:val="28"/>
          <w:szCs w:val="28"/>
          <w:lang w:val="uk-UA" w:eastAsia="uk-UA"/>
        </w:rPr>
        <w:t xml:space="preserve">Координація </w:t>
      </w:r>
      <w:r>
        <w:rPr>
          <w:b/>
          <w:sz w:val="28"/>
          <w:szCs w:val="28"/>
          <w:lang w:val="uk-UA" w:eastAsia="ru-RU"/>
        </w:rPr>
        <w:t xml:space="preserve">та контроль за ходом виконання програми</w:t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Організація виконання Програми покладається на Відділ освіти Менської міської ради, Комунальну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освіти».</w:t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 xml:space="preserve">Контроль за ходом реалізації Програми здійснюється постійною комісією Менської міської ради з питань охорони </w:t>
      </w:r>
      <w:r>
        <w:rPr>
          <w:sz w:val="28"/>
          <w:szCs w:val="28"/>
          <w:lang w:val="uk-UA" w:eastAsia="ru-RU"/>
        </w:rPr>
        <w:t xml:space="preserve">здоров</w:t>
      </w:r>
      <w:r>
        <w:rPr>
          <w:sz w:val="28"/>
          <w:szCs w:val="28"/>
          <w:lang w:eastAsia="ru-RU"/>
        </w:rPr>
        <w:t xml:space="preserve">’</w:t>
      </w:r>
      <w:r>
        <w:rPr>
          <w:sz w:val="28"/>
          <w:szCs w:val="28"/>
          <w:lang w:val="uk-UA" w:eastAsia="ru-RU"/>
        </w:rPr>
        <w:t xml:space="preserve">я, соціального захисту населення, освіти, культури, молоді, фізкультури і спорту, заступником голови з питань діяльності виконавчих органів ради Прищепою В.В.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9. Ресурсне забезпечення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Програми розвитку позашкільної освіти на 2025-2027роки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margin" w:tblpX="-77" w:vertAnchor="text" w:tblpY="312" w:leftFromText="180" w:topFromText="0" w:rightFromText="180" w:bottomFromText="200"/>
        <w:tblW w:w="9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86"/>
        <w:gridCol w:w="1483"/>
        <w:gridCol w:w="1418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Орієнтовані обсяги видатків, які пропонується залучити на виконання Програми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Орієнтовні  обсяги видатків (усього), </w:t>
            </w:r>
            <w:r>
              <w:rPr>
                <w:bCs/>
                <w:i/>
                <w:color w:val="000000" w:themeColor="text1"/>
                <w:sz w:val="28"/>
                <w:szCs w:val="28"/>
                <w:lang w:val="uk-UA" w:eastAsia="ru-RU"/>
              </w:rPr>
              <w:t xml:space="preserve">грн</w:t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3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2025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2026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2027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Бюджет Менської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міської ради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877 660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275 660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287 000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315 000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 w:themeColor="text1"/>
          <w:szCs w:val="27"/>
        </w:rPr>
      </w:pPr>
      <w:r>
        <w:rPr>
          <w:b/>
          <w:bCs/>
          <w:color w:val="000000" w:themeColor="text1"/>
          <w:szCs w:val="27"/>
          <w:lang w:val="uk-UA" w:eastAsia="ru-RU"/>
        </w:rPr>
        <w:br w:type="page" w:clear="all"/>
      </w:r>
      <w:r>
        <w:rPr>
          <w:b/>
          <w:color w:val="000000" w:themeColor="text1"/>
          <w:szCs w:val="27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 Орієнтовне фінансування забезпечення Програми (2025 – 2027 рр.)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tbl>
      <w:tblPr>
        <w:tblStyle w:val="902"/>
        <w:tblW w:w="9994" w:type="dxa"/>
        <w:tblInd w:w="-529" w:type="dxa"/>
        <w:tblBorders/>
        <w:tblLayout w:type="fixed"/>
        <w:tblLook w:val="04A0" w:firstRow="1" w:lastRow="0" w:firstColumn="1" w:lastColumn="0" w:noHBand="0" w:noVBand="1"/>
      </w:tblPr>
      <w:tblGrid>
        <w:gridCol w:w="638"/>
        <w:gridCol w:w="5386"/>
        <w:gridCol w:w="1323"/>
        <w:gridCol w:w="1323"/>
        <w:gridCol w:w="1324"/>
      </w:tblGrid>
      <w:tr>
        <w:trPr>
          <w:trHeight w:val="3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uk-UA" w:eastAsia="ru-RU"/>
              </w:rPr>
              <w:t xml:space="preserve">№ з/п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uk-UA" w:eastAsia="ru-RU"/>
              </w:rPr>
              <w:t xml:space="preserve">Адреса фінансування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 w:eastAsia="ru-RU"/>
              </w:rPr>
              <w:t xml:space="preserve">Обсяг фінансування всього (грн.)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2025р.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2026р.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2027р.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 w:eastAsia="ru-RU"/>
              </w:rPr>
              <w:t xml:space="preserve">1.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Забезпечення роботи та зміцнення матеріальної бази гуртків закладів позашкільної освіти, підтримки творчих дитячих колективів закладів позашкільної освіти: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26 000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31 000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11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  <w:t xml:space="preserve">придбання матеріалів, інвентаря, витратних матеріалів для проведення роботи гуртків, функціонування творчих дитячих колективів  тощо</w:t>
            </w: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14 000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17 000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  <w:t xml:space="preserve">придбання  паливно-мастильних матеріалів для проведення занять гуртка «Картинг» та  участі його вихованців у змаганнях з картингів</w:t>
            </w: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12 000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14 000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 w:eastAsia="ru-RU"/>
              </w:rPr>
              <w:t xml:space="preserve">Забезпечення участі вихованців СЮТ в обласних, Всеукраїнських конкурсах, змаганнях.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7 000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7 000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7 000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Вшанування переможців обласних, Всеукраїнських, міжнародних конкурсів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спортивних змагань 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236 660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240 000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260 000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  <w:t xml:space="preserve">кошти на одноразові заохочувальні премії (вихованцям та керівникам гуртків (за один окремий номер, виріб) ЦДЮТ та СЮТ)</w:t>
            </w: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204 840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200 000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210 000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  <w:t xml:space="preserve">кошти на одноразові заохочувальні премії (вихованцям та керівникам  спортивних секцій (за кожен диплом сумарно)  ДЮСШ)</w:t>
            </w:r>
            <w:r>
              <w:rPr>
                <w:rFonts w:eastAsia="Calibri"/>
                <w:b w:val="0"/>
                <w:bCs w:val="0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31 820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40 000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50 000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Придбання грамот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 дипломів та інше для нагородження переможців 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Забезпечення підвозу вихованців та їх керівників для участі  у проведенні нагородження переможців, оплати транспортних послуг за підвезення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10 000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 12 000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15 000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275 660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287 000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315 000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60" w:line="240" w:lineRule="auto"/>
        <w:ind/>
        <w:jc w:val="center"/>
        <w:outlineLvl w:val="1"/>
        <w:rPr>
          <w:color w:val="000000" w:themeColor="text1"/>
          <w:sz w:val="28"/>
          <w:szCs w:val="28"/>
          <w:lang w:val="uk-UA" w:eastAsia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cols w:num="1" w:sep="0" w:space="708" w:equalWidth="1"/>
          <w:titlePg/>
        </w:sectPr>
      </w:pP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10.1. Орієнтовне фінансування забезпечення Програми (2025-2027 рр.)  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/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ЦДЮТ, СЮТ</w:t>
      </w:r>
      <w:r/>
    </w:p>
    <w:tbl>
      <w:tblPr>
        <w:tblStyle w:val="902"/>
        <w:tblW w:w="0" w:type="auto"/>
        <w:tblBorders/>
        <w:tblLook w:val="04A0" w:firstRow="1" w:lastRow="0" w:firstColumn="1" w:lastColumn="0" w:noHBand="0" w:noVBand="1"/>
      </w:tblPr>
      <w:tblGrid>
        <w:gridCol w:w="1611"/>
        <w:gridCol w:w="706"/>
        <w:gridCol w:w="893"/>
        <w:gridCol w:w="697"/>
        <w:gridCol w:w="893"/>
        <w:gridCol w:w="893"/>
        <w:gridCol w:w="893"/>
        <w:gridCol w:w="737"/>
        <w:gridCol w:w="893"/>
        <w:gridCol w:w="893"/>
        <w:gridCol w:w="893"/>
        <w:gridCol w:w="881"/>
        <w:gridCol w:w="893"/>
        <w:gridCol w:w="893"/>
        <w:gridCol w:w="893"/>
      </w:tblGrid>
      <w:tr>
        <w:trPr>
          <w:trHeight w:val="131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Предмет  фінансування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Рівень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</w:t>
            </w:r>
            <w:r>
              <w:rPr>
                <w:lang w:val="uk-UA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3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</w:t>
            </w:r>
            <w:r>
              <w:rPr>
                <w:lang w:val="uk-UA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356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2027</w:t>
            </w:r>
            <w:r>
              <w:rPr>
                <w:lang w:val="uk-UA"/>
              </w:rPr>
            </w:r>
          </w:p>
        </w:tc>
      </w:tr>
      <w:tr>
        <w:trPr>
          <w:trHeight w:val="761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</w:tr>
      <w:tr>
        <w:trPr>
          <w:trHeight w:val="724"/>
        </w:trPr>
        <w:tc>
          <w:tcPr>
            <w:tcBorders/>
            <w:tcW w:w="161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3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tcW w:w="356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</w:tr>
      <w:tr>
        <w:trPr>
          <w:cantSplit/>
          <w:trHeight w:val="792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індивідуальні премії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left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965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</w:tr>
      <w:tr>
        <w:trPr>
          <w:cantSplit/>
          <w:trHeight w:val="987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1195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833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премії на колективи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924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</w:tr>
      <w:tr>
        <w:trPr>
          <w:cantSplit/>
          <w:trHeight w:val="831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202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10.2. Орієнтовне фінансування забезпечення Програми (2025-2027 рр.)  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ДЮСШ</w:t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lang w:val="uk-UA"/>
        </w:rPr>
      </w:r>
      <w:r>
        <w:rPr>
          <w:lang w:val="uk-UA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tbl>
      <w:tblPr>
        <w:tblStyle w:val="902"/>
        <w:tblW w:w="0" w:type="auto"/>
        <w:tblBorders/>
        <w:tblLook w:val="04A0" w:firstRow="1" w:lastRow="0" w:firstColumn="1" w:lastColumn="0" w:noHBand="0" w:noVBand="1"/>
      </w:tblPr>
      <w:tblGrid>
        <w:gridCol w:w="1635"/>
        <w:gridCol w:w="1567"/>
        <w:gridCol w:w="1188"/>
        <w:gridCol w:w="1134"/>
        <w:gridCol w:w="1178"/>
        <w:gridCol w:w="1090"/>
        <w:gridCol w:w="1275"/>
        <w:gridCol w:w="1119"/>
        <w:gridCol w:w="1149"/>
        <w:gridCol w:w="1134"/>
        <w:gridCol w:w="1093"/>
      </w:tblGrid>
      <w:tr>
        <w:trPr>
          <w:trHeight w:val="131"/>
        </w:trPr>
        <w:tc>
          <w:tcPr>
            <w:tcBorders/>
            <w:tcW w:w="1635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Предмет  фінансування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Рівень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50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</w:t>
            </w:r>
            <w:r>
              <w:rPr>
                <w:lang w:val="uk-UA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48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</w:t>
            </w:r>
            <w:r>
              <w:rPr>
                <w:lang w:val="uk-UA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2027</w:t>
            </w:r>
            <w:r>
              <w:rPr>
                <w:lang w:val="uk-UA"/>
              </w:rPr>
            </w:r>
          </w:p>
        </w:tc>
      </w:tr>
      <w:tr>
        <w:trPr>
          <w:trHeight w:val="761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</w:tr>
      <w:tr>
        <w:trPr>
          <w:trHeight w:val="441"/>
        </w:trPr>
        <w:tc>
          <w:tcPr>
            <w:tcBorders/>
            <w:tcW w:w="16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50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4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/>
          </w:p>
        </w:tc>
      </w:tr>
      <w:tr>
        <w:trPr>
          <w:trHeight w:val="1223"/>
        </w:trPr>
        <w:tc>
          <w:tcPr>
            <w:tcBorders/>
            <w:tcW w:w="163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Вшанування переможців обласних, Всеукраїнських, міжнародних змагань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Індивідуальні премії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</w:tr>
      <w:tr>
        <w:trPr>
          <w:trHeight w:val="1510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</w:tr>
      <w:tr>
        <w:trPr>
          <w:trHeight w:val="1225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Чемпіонат України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 w:after="60" w:line="240" w:lineRule="auto"/>
        <w:ind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</w:t>
      </w:r>
      <w:r>
        <w:rPr>
          <w:sz w:val="28"/>
          <w:szCs w:val="28"/>
        </w:rPr>
      </w:r>
    </w:p>
    <w:p>
      <w:pPr>
        <w:pBdr/>
        <w:spacing w:after="60" w:line="240" w:lineRule="auto"/>
        <w:ind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                                                                                                                   </w:t>
      </w:r>
      <w:r>
        <w:rPr>
          <w:sz w:val="28"/>
          <w:szCs w:val="28"/>
        </w:rPr>
        <w:t xml:space="preserve">Ірина</w:t>
      </w:r>
      <w:r>
        <w:rPr>
          <w:sz w:val="28"/>
          <w:szCs w:val="28"/>
        </w:rPr>
        <w:t xml:space="preserve"> ЛУК’ЯНЕНКО</w:t>
      </w:r>
      <w:r>
        <w:rPr>
          <w:sz w:val="28"/>
          <w:szCs w:val="28"/>
        </w:rPr>
      </w:r>
    </w:p>
    <w:sectPr>
      <w:footnotePr/>
      <w:endnotePr/>
      <w:type w:val="nextPage"/>
      <w:pgSz w:h="12240" w:orient="landscape" w:w="15840"/>
      <w:pgMar w:top="85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w:t xml:space="preserve">                                                   </w:t>
    </w:r>
    <w:r>
      <w:t xml:space="preserve">продовження</w:t>
    </w:r>
    <w:r>
      <w:t xml:space="preserve"> </w:t>
    </w:r>
    <w:r>
      <w:t xml:space="preserve">додатка</w:t>
    </w:r>
    <w:r/>
  </w:p>
  <w:p>
    <w:pPr>
      <w:pStyle w:val="90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Times New Roman" w:hAnsi="Times New Roman" w:eastAsia="Times New Roman" w:cs="Times New Roman"/>
      <w:lang w:val="ru-RU"/>
    </w:rPr>
  </w:style>
  <w:style w:type="paragraph" w:styleId="714">
    <w:name w:val="Heading 1"/>
    <w:basedOn w:val="713"/>
    <w:next w:val="713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5">
    <w:name w:val="Heading 2"/>
    <w:basedOn w:val="713"/>
    <w:next w:val="713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6">
    <w:name w:val="Heading 3"/>
    <w:basedOn w:val="713"/>
    <w:next w:val="713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7">
    <w:name w:val="Heading 4"/>
    <w:basedOn w:val="713"/>
    <w:next w:val="713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8">
    <w:name w:val="Heading 5"/>
    <w:basedOn w:val="713"/>
    <w:next w:val="713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9">
    <w:name w:val="Heading 6"/>
    <w:basedOn w:val="713"/>
    <w:next w:val="713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0">
    <w:name w:val="Heading 7"/>
    <w:basedOn w:val="713"/>
    <w:next w:val="713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1">
    <w:name w:val="Heading 8"/>
    <w:basedOn w:val="713"/>
    <w:next w:val="713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2">
    <w:name w:val="Heading 9"/>
    <w:basedOn w:val="713"/>
    <w:next w:val="713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default="1">
    <w:name w:val="Default Paragraph Font"/>
    <w:uiPriority w:val="1"/>
    <w:semiHidden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character" w:styleId="726" w:customStyle="1">
    <w:name w:val="Heading 1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27" w:customStyle="1">
    <w:name w:val="Heading 2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28" w:customStyle="1">
    <w:name w:val="Heading 3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29" w:customStyle="1">
    <w:name w:val="Heading 4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0" w:customStyle="1">
    <w:name w:val="Heading 5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1" w:customStyle="1">
    <w:name w:val="Heading 6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2" w:customStyle="1">
    <w:name w:val="Heading 7 Char"/>
    <w:basedOn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3" w:customStyle="1">
    <w:name w:val="Heading 8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 w:customStyle="1">
    <w:name w:val="Heading 9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customStyle="1">
    <w:name w:val="Title Char"/>
    <w:basedOn w:val="7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6" w:customStyle="1">
    <w:name w:val="Subtitle Char"/>
    <w:basedOn w:val="7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7" w:customStyle="1">
    <w:name w:val="Quote Char"/>
    <w:basedOn w:val="7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8" w:customStyle="1">
    <w:name w:val="Intense Quote Char"/>
    <w:basedOn w:val="72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39" w:customStyle="1">
    <w:name w:val="Footnote Text Char"/>
    <w:basedOn w:val="723"/>
    <w:uiPriority w:val="99"/>
    <w:semiHidden/>
    <w:pPr>
      <w:pBdr/>
      <w:spacing/>
      <w:ind/>
    </w:pPr>
    <w:rPr>
      <w:sz w:val="20"/>
      <w:szCs w:val="20"/>
    </w:rPr>
  </w:style>
  <w:style w:type="character" w:styleId="740" w:customStyle="1">
    <w:name w:val="Endnote Text Char"/>
    <w:basedOn w:val="723"/>
    <w:uiPriority w:val="99"/>
    <w:semiHidden/>
    <w:pPr>
      <w:pBdr/>
      <w:spacing/>
      <w:ind/>
    </w:pPr>
    <w:rPr>
      <w:sz w:val="20"/>
      <w:szCs w:val="20"/>
    </w:rPr>
  </w:style>
  <w:style w:type="table" w:styleId="741" w:customStyle="1">
    <w:name w:val="Table Grid Light"/>
    <w:basedOn w:val="7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2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1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2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3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4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5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6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23"/>
    <w:link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7" w:customStyle="1">
    <w:name w:val="Заголовок 2 Знак"/>
    <w:basedOn w:val="723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8" w:customStyle="1">
    <w:name w:val="Заголовок 3 Знак"/>
    <w:basedOn w:val="723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9" w:customStyle="1">
    <w:name w:val="Заголовок 4 Знак"/>
    <w:basedOn w:val="723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0" w:customStyle="1">
    <w:name w:val="Заголовок 5 Знак"/>
    <w:basedOn w:val="723"/>
    <w:link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1" w:customStyle="1">
    <w:name w:val="Заголовок 6 Знак"/>
    <w:basedOn w:val="723"/>
    <w:link w:val="7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 w:customStyle="1">
    <w:name w:val="Заголовок 7 Знак"/>
    <w:basedOn w:val="723"/>
    <w:link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 w:customStyle="1">
    <w:name w:val="Заголовок 8 Знак"/>
    <w:basedOn w:val="723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 w:customStyle="1">
    <w:name w:val="Заголовок 9 Знак"/>
    <w:basedOn w:val="723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713"/>
    <w:next w:val="713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 w:customStyle="1">
    <w:name w:val="Назва Знак"/>
    <w:basedOn w:val="72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713"/>
    <w:next w:val="713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Підзаголовок Знак"/>
    <w:basedOn w:val="72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713"/>
    <w:next w:val="713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 w:customStyle="1">
    <w:name w:val="Цитата Знак"/>
    <w:basedOn w:val="72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72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2">
    <w:name w:val="Intense Quote"/>
    <w:basedOn w:val="713"/>
    <w:next w:val="713"/>
    <w:link w:val="88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3" w:customStyle="1">
    <w:name w:val="Насичена цитата Знак"/>
    <w:basedOn w:val="723"/>
    <w:link w:val="88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4">
    <w:name w:val="Intense Reference"/>
    <w:basedOn w:val="72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85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887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 w:customStyle="1">
    <w:name w:val="Header Char"/>
    <w:basedOn w:val="723"/>
    <w:uiPriority w:val="99"/>
    <w:pPr>
      <w:pBdr/>
      <w:spacing/>
      <w:ind/>
    </w:pPr>
  </w:style>
  <w:style w:type="character" w:styleId="890" w:customStyle="1">
    <w:name w:val="Footer Char"/>
    <w:basedOn w:val="723"/>
    <w:uiPriority w:val="99"/>
    <w:pPr>
      <w:pBdr/>
      <w:spacing/>
      <w:ind/>
    </w:pPr>
  </w:style>
  <w:style w:type="paragraph" w:styleId="891">
    <w:name w:val="Caption"/>
    <w:basedOn w:val="713"/>
    <w:next w:val="713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92">
    <w:name w:val="footnote text"/>
    <w:basedOn w:val="713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виноски Знак"/>
    <w:basedOn w:val="72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13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 w:customStyle="1">
    <w:name w:val="Текст кінцевої виноски Знак"/>
    <w:basedOn w:val="72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3"/>
    <w:next w:val="713"/>
    <w:uiPriority w:val="99"/>
    <w:unhideWhenUsed/>
    <w:pPr>
      <w:pBdr/>
      <w:spacing w:after="0"/>
      <w:ind/>
    </w:pPr>
  </w:style>
  <w:style w:type="paragraph" w:styleId="901">
    <w:name w:val="List Paragraph"/>
    <w:basedOn w:val="713"/>
    <w:uiPriority w:val="34"/>
    <w:qFormat/>
    <w:pPr>
      <w:pBdr/>
      <w:spacing/>
      <w:ind w:left="720"/>
      <w:contextualSpacing w:val="true"/>
    </w:pPr>
  </w:style>
  <w:style w:type="table" w:styleId="902">
    <w:name w:val="Table Grid"/>
    <w:basedOn w:val="72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character" w:styleId="904">
    <w:name w:val="Strong"/>
    <w:basedOn w:val="723"/>
    <w:uiPriority w:val="22"/>
    <w:qFormat/>
    <w:pPr>
      <w:pBdr/>
      <w:spacing/>
      <w:ind/>
    </w:pPr>
    <w:rPr>
      <w:b/>
      <w:bCs/>
    </w:rPr>
  </w:style>
  <w:style w:type="paragraph" w:styleId="905">
    <w:name w:val="Balloon Text"/>
    <w:basedOn w:val="713"/>
    <w:link w:val="90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6" w:customStyle="1">
    <w:name w:val="Текст у виносці Знак"/>
    <w:basedOn w:val="723"/>
    <w:link w:val="905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  <w:style w:type="paragraph" w:styleId="907">
    <w:name w:val="Header"/>
    <w:basedOn w:val="713"/>
    <w:link w:val="908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908" w:customStyle="1">
    <w:name w:val="Верхній колонтитул Знак"/>
    <w:basedOn w:val="723"/>
    <w:link w:val="907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909">
    <w:name w:val="Footer"/>
    <w:basedOn w:val="713"/>
    <w:link w:val="910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910" w:customStyle="1">
    <w:name w:val="Нижній колонтитул Знак"/>
    <w:basedOn w:val="723"/>
    <w:link w:val="909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911">
    <w:name w:val="Hyperlink"/>
    <w:basedOn w:val="723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12" w:customStyle="1">
    <w:name w:val="Абзац списку1"/>
    <w:basedOn w:val="713"/>
    <w:pPr>
      <w:pBdr/>
      <w:spacing w:after="0" w:line="240" w:lineRule="auto"/>
      <w:ind w:left="720"/>
      <w:contextualSpacing w:val="true"/>
    </w:pPr>
    <w:rPr>
      <w:rFonts w:ascii="Calibri" w:hAnsi="Calibri" w:eastAsia="Calibri"/>
      <w:sz w:val="20"/>
      <w:lang w:bidi="en-US"/>
    </w:rPr>
  </w:style>
  <w:style w:type="character" w:styleId="913" w:customStyle="1">
    <w:name w:val="rvts9"/>
    <w:basedOn w:val="72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50</cp:revision>
  <dcterms:created xsi:type="dcterms:W3CDTF">2021-12-07T08:22:00Z</dcterms:created>
  <dcterms:modified xsi:type="dcterms:W3CDTF">2025-11-20T13:33:08Z</dcterms:modified>
</cp:coreProperties>
</file>