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8"/>
        <w:pBdr/>
        <w:spacing w:after="113" w:afterAutospacing="0"/>
        <w:ind/>
        <w:jc w:val="center"/>
        <w:rPr>
          <w:rFonts w:ascii="Times New Roman" w:hAnsi="Times New Roman" w:eastAsia="Times New Roman" w:cs="Times New Roman"/>
          <w:b/>
          <w:color w:val="000000"/>
          <w:sz w:val="16"/>
          <w:szCs w:val="16"/>
          <w:lang w:bidi="en-US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color w:val="000000"/>
          <w:sz w:val="16"/>
          <w:szCs w:val="16"/>
          <w:lang w:bidi="en-US"/>
        </w:rPr>
      </w:r>
    </w:p>
    <w:p>
      <w:pPr>
        <w:pStyle w:val="938"/>
        <w:pBdr/>
        <w:spacing w:after="113" w:afterAutospacing="0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lang w:bidi="en-US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lang w:bidi="en-US"/>
        </w:rPr>
        <w:t xml:space="preserve">(</w:t>
      </w:r>
      <w:r>
        <w:rPr>
          <w:rFonts w:ascii="Times New Roman" w:hAnsi="Times New Roman" w:eastAsia="Times New Roman" w:cs="Times New Roman"/>
          <w:b/>
          <w:color w:val="000000"/>
          <w:sz w:val="28"/>
          <w:lang w:bidi="en-US"/>
        </w:rPr>
        <w:t xml:space="preserve">шістдес</w:t>
      </w:r>
      <w:r>
        <w:rPr>
          <w:rFonts w:ascii="Times New Roman" w:hAnsi="Times New Roman" w:eastAsia="Times New Roman" w:cs="Times New Roman"/>
          <w:b/>
          <w:color w:val="000000"/>
          <w:sz w:val="28"/>
          <w:lang w:bidi="en-US"/>
        </w:rPr>
        <w:t xml:space="preserve">ят</w:t>
      </w:r>
      <w:r>
        <w:rPr>
          <w:rFonts w:ascii="Times New Roman" w:hAnsi="Times New Roman" w:eastAsia="Times New Roman" w:cs="Times New Roman"/>
          <w:b/>
          <w:color w:val="000000"/>
          <w:sz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lang w:bidi="en-US"/>
        </w:rPr>
        <w:t xml:space="preserve">сьома</w:t>
      </w:r>
      <w:r>
        <w:rPr>
          <w:rFonts w:ascii="Times New Roman" w:hAnsi="Times New Roman" w:eastAsia="Times New Roman" w:cs="Times New Roman"/>
          <w:b/>
          <w:color w:val="000000"/>
          <w:sz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lang w:bidi="en-US"/>
        </w:rPr>
        <w:t xml:space="preserve">сесія восьмого скликання)</w:t>
      </w:r>
      <w:r>
        <w:rPr>
          <w:rFonts w:ascii="Times New Roman" w:hAnsi="Times New Roman" w:eastAsia="Times New Roman" w:cs="Times New Roman"/>
          <w:b/>
          <w:color w:val="000000"/>
          <w:sz w:val="28"/>
          <w:lang w:bidi="en-US"/>
        </w:rPr>
      </w:r>
    </w:p>
    <w:p>
      <w:pPr>
        <w:pStyle w:val="938"/>
        <w:pBdr/>
        <w:spacing w:after="113" w:afterAutospacing="0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lang w:bidi="en-US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lang w:bidi="en-US"/>
        </w:rPr>
        <w:t xml:space="preserve">РІШЕННЯ</w:t>
      </w:r>
      <w:r>
        <w:rPr>
          <w:rFonts w:ascii="Times New Roman" w:hAnsi="Times New Roman" w:eastAsia="Times New Roman" w:cs="Times New Roman"/>
          <w:b/>
          <w:color w:val="000000"/>
          <w:sz w:val="28"/>
          <w:lang w:bidi="en-US"/>
        </w:rPr>
      </w:r>
    </w:p>
    <w:p>
      <w:pPr>
        <w:pBdr/>
        <w:tabs>
          <w:tab w:val="left" w:leader="none" w:pos="4536"/>
          <w:tab w:val="left" w:leader="none" w:pos="7370"/>
        </w:tabs>
        <w:spacing w:after="113" w:afterAutospacing="0"/>
        <w:ind/>
        <w:rPr>
          <w:rFonts w:ascii="Times New Roman" w:hAnsi="Times New Roman" w:eastAsia="Times New Roman" w:cs="Times New Roman"/>
          <w:color w:val="000000"/>
          <w:sz w:val="28"/>
          <w:lang w:val="uk-UA" w:bidi="en-US"/>
        </w:rPr>
      </w:pPr>
      <w:r>
        <w:rPr>
          <w:rFonts w:ascii="Times New Roman" w:hAnsi="Times New Roman" w:eastAsia="Times New Roman" w:cs="Times New Roman"/>
          <w:color w:val="000000"/>
          <w:sz w:val="28"/>
          <w:lang w:val="uk-UA" w:bidi="en-US"/>
        </w:rPr>
        <w:t xml:space="preserve">19</w:t>
      </w:r>
      <w:r>
        <w:rPr>
          <w:rFonts w:ascii="Times New Roman" w:hAnsi="Times New Roman" w:eastAsia="Times New Roman" w:cs="Times New Roman"/>
          <w:color w:val="000000"/>
          <w:sz w:val="28"/>
          <w:lang w:val="uk-UA" w:bidi="en-US"/>
        </w:rPr>
        <w:t xml:space="preserve"> листопада</w:t>
      </w:r>
      <w:r>
        <w:rPr>
          <w:rFonts w:ascii="Times New Roman" w:hAnsi="Times New Roman" w:eastAsia="Times New Roman" w:cs="Times New Roman"/>
          <w:color w:val="000000"/>
          <w:sz w:val="28"/>
          <w:lang w:val="uk-UA" w:bidi="en-US"/>
        </w:rPr>
        <w:t xml:space="preserve"> 202</w:t>
      </w:r>
      <w:r>
        <w:rPr>
          <w:rFonts w:ascii="Times New Roman" w:hAnsi="Times New Roman" w:eastAsia="Times New Roman" w:cs="Times New Roman"/>
          <w:color w:val="000000"/>
          <w:sz w:val="28"/>
          <w:lang w:val="uk-UA" w:bidi="en-US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lang w:val="uk-UA" w:bidi="en-US"/>
        </w:rPr>
        <w:t xml:space="preserve"> року</w:t>
      </w:r>
      <w:r>
        <w:rPr>
          <w:rFonts w:ascii="Times New Roman" w:hAnsi="Times New Roman" w:eastAsia="Times New Roman" w:cs="Times New Roman"/>
          <w:color w:val="000000"/>
          <w:sz w:val="28"/>
          <w:lang w:val="uk-UA" w:bidi="en-US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lang w:val="uk-UA" w:bidi="en-US"/>
        </w:rPr>
        <w:t xml:space="preserve">м.Мена</w:t>
      </w:r>
      <w:r>
        <w:rPr>
          <w:rFonts w:ascii="Times New Roman" w:hAnsi="Times New Roman" w:eastAsia="Times New Roman" w:cs="Times New Roman"/>
          <w:color w:val="000000"/>
          <w:sz w:val="28"/>
          <w:lang w:val="uk-UA" w:bidi="en-US"/>
        </w:rPr>
        <w:tab/>
        <w:t xml:space="preserve">№ </w:t>
      </w:r>
      <w:r>
        <w:rPr>
          <w:rFonts w:ascii="Times New Roman" w:hAnsi="Times New Roman" w:eastAsia="Times New Roman" w:cs="Times New Roman"/>
          <w:color w:val="000000"/>
          <w:sz w:val="28"/>
          <w:lang w:val="uk-UA" w:bidi="en-US"/>
        </w:rPr>
        <w:t xml:space="preserve">685</w:t>
      </w:r>
      <w:r>
        <w:rPr>
          <w:rFonts w:ascii="Times New Roman" w:hAnsi="Times New Roman" w:eastAsia="Times New Roman" w:cs="Times New Roman"/>
          <w:color w:val="000000"/>
          <w:sz w:val="28"/>
          <w:lang w:val="uk-UA" w:bidi="en-US"/>
        </w:rPr>
      </w:r>
    </w:p>
    <w:p>
      <w:pPr>
        <w:pBdr/>
        <w:spacing w:after="113" w:afterAutospacing="0"/>
        <w:ind w:right="5385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  <w:t xml:space="preserve">Про внесення змін до рішення 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  <w:t xml:space="preserve">56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  <w:t xml:space="preserve"> сесії Менської міської ради 8 скликання від 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  <w:t xml:space="preserve">19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  <w:t xml:space="preserve"> грудня 202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  <w:t xml:space="preserve">4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  <w:t xml:space="preserve"> року № 7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  <w:t xml:space="preserve">50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Керуючись статтею 23, 26, 52-55, 78 Бюджетного кодексу України, п. 23 ст.26 Закону України «Про місцеве самоврядування в Україні», згідно подання начальника 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інансового управління Менської міської ради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ВИРІШИЛА: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1. Пункт 1 рішення </w:t>
      </w:r>
      <w:bookmarkStart w:id="0" w:name="_Hlk156987053"/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56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сесії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 Менської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 міської ради 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від 1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 грудня 202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 року 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50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«Про бюджет Менської міської територіальної громади на 202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 рік (код бюджету 2551700000)»</w:t>
      </w:r>
      <w:bookmarkEnd w:id="0"/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викласти у наступній редакції: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</w:pPr>
      <w:r/>
      <w:bookmarkStart w:id="1" w:name="30"/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«</w:t>
      </w:r>
      <w:bookmarkStart w:id="2" w:name="39"/>
      <w:r/>
      <w:bookmarkEnd w:id="1"/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1. Визначити на 202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5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 рік: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Calibri" w:cs="Times New Roman"/>
          <w:b/>
          <w:color w:val="000000"/>
          <w:sz w:val="28"/>
          <w:szCs w:val="28"/>
          <w:lang w:val="uk-UA" w:eastAsia="ru-RU"/>
        </w:rPr>
        <w:t xml:space="preserve">доходи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 місцевого бюджету у сумі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386 709 096,31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гривень, у тому числі доходи загального фонду місцевого бюджету –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362 171 802,00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гривень та доходи спеціального фонду місцевого бюджету –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24 537 294,31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гривень згідно з додатком 1 до цього рішення;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</w:pPr>
      <w:r/>
      <w:bookmarkStart w:id="3" w:name="31"/>
      <w:r/>
      <w:bookmarkEnd w:id="3"/>
      <w:r>
        <w:rPr>
          <w:rFonts w:ascii="Times New Roman" w:hAnsi="Times New Roman" w:eastAsia="Calibri" w:cs="Times New Roman"/>
          <w:b/>
          <w:color w:val="000000"/>
          <w:sz w:val="28"/>
          <w:szCs w:val="28"/>
          <w:lang w:val="uk-UA" w:eastAsia="ru-RU"/>
        </w:rPr>
        <w:t xml:space="preserve">видатки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 місцевого бюджету у сумі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410 102 503,69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гривень, у тому числі видатки загального фонду місцевого бюджету –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331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 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962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527,85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гривень та видатки спеціального фонду місцевого бюджету –</w:t>
      </w:r>
      <w:r>
        <w:t xml:space="preserve">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78 139 975,84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гривень;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</w:pPr>
      <w:r/>
      <w:bookmarkStart w:id="4" w:name="32"/>
      <w:r/>
      <w:bookmarkEnd w:id="4"/>
      <w:r>
        <w:rPr>
          <w:rFonts w:ascii="Times New Roman" w:hAnsi="Times New Roman" w:eastAsia="Calibri" w:cs="Times New Roman"/>
          <w:b/>
          <w:color w:val="000000"/>
          <w:sz w:val="28"/>
          <w:szCs w:val="28"/>
          <w:lang w:val="uk-UA" w:eastAsia="ru-RU"/>
        </w:rPr>
        <w:t xml:space="preserve">повернення кредитів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 до місцевого бюджету у сумі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1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1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5 000,00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 гривень, у тому числі повернення кредитів до спеціального фонду місцевого бюджету –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 1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1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5 000,00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гривень;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</w:pPr>
      <w:r/>
      <w:bookmarkStart w:id="5" w:name="33"/>
      <w:r/>
      <w:bookmarkEnd w:id="5"/>
      <w:r>
        <w:rPr>
          <w:rFonts w:ascii="Times New Roman" w:hAnsi="Times New Roman" w:eastAsia="Calibri" w:cs="Times New Roman"/>
          <w:b/>
          <w:color w:val="000000"/>
          <w:sz w:val="28"/>
          <w:szCs w:val="28"/>
          <w:lang w:val="uk-UA" w:eastAsia="ru-RU"/>
        </w:rPr>
        <w:t xml:space="preserve">надання кредитів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 з місцевого бюджету у сумі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1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1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5 000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,00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 гривень, у тому числі надання кредитів із загального фонду місцевого бюджету –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00,00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 гривень та надання кредитів із спеціального фонду місцевого бюджету -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1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1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5 000,00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 гривень;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</w:r>
    </w:p>
    <w:p>
      <w:pPr>
        <w:pBdr/>
        <w:spacing/>
        <w:ind w:firstLine="601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 w:eastAsia="ru-RU"/>
        </w:rPr>
        <w:t xml:space="preserve">профіцит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за загальним фондом місцевого бюджету у сумі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42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 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847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725,15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гривень згідно з додатком 2 до цього рішення;</w:t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 w:eastAsia="ru-RU"/>
        </w:rPr>
        <w:t xml:space="preserve">дефіцит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за спеціальним фондом місцевого бюджету у сумі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42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 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847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725,15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згідно з додатком 2 до цього рішення;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val="uk-UA" w:eastAsia="ru-RU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</w:pPr>
      <w:r/>
      <w:bookmarkStart w:id="6" w:name="34"/>
      <w:r/>
      <w:bookmarkEnd w:id="6"/>
      <w:r>
        <w:rPr>
          <w:rFonts w:ascii="Times New Roman" w:hAnsi="Times New Roman" w:eastAsia="Calibri" w:cs="Times New Roman"/>
          <w:b/>
          <w:color w:val="000000"/>
          <w:sz w:val="28"/>
          <w:szCs w:val="28"/>
          <w:lang w:val="uk-UA" w:eastAsia="ru-RU"/>
        </w:rPr>
        <w:t xml:space="preserve">оборотний залишок бюджетних коштів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 місцевого бюджету у розмірі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25000,00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гривень, що становить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00,0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1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 відсотки видатків загального фонду місцевого бюджету, визначених цим пунктом;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</w:pPr>
      <w:r/>
      <w:bookmarkStart w:id="7" w:name="37"/>
      <w:r/>
      <w:bookmarkEnd w:id="7"/>
      <w:r>
        <w:rPr>
          <w:rFonts w:ascii="Times New Roman" w:hAnsi="Times New Roman" w:eastAsia="Calibri" w:cs="Times New Roman"/>
          <w:b/>
          <w:color w:val="000000"/>
          <w:sz w:val="28"/>
          <w:szCs w:val="28"/>
          <w:lang w:val="uk-UA" w:eastAsia="ru-RU"/>
        </w:rPr>
        <w:t xml:space="preserve">резервний фонд</w:t>
      </w:r>
      <w:bookmarkStart w:id="8" w:name="38"/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 місцевого бюджету у розмірі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245 328,00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гривень, що становить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0,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  <w:t xml:space="preserve">07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 відсотків видатків загального фонду місцевого бюджету, визначених цим пунктом.</w:t>
      </w:r>
      <w:bookmarkEnd w:id="8"/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ru-RU"/>
        </w:rPr>
        <w:t xml:space="preserve">»</w:t>
      </w:r>
      <w:bookmarkEnd w:id="2"/>
      <w:r/>
      <w:r>
        <w:rPr>
          <w:rFonts w:ascii="Times New Roman" w:hAnsi="Times New Roman" w:eastAsia="Calibri" w:cs="Times New Roman"/>
          <w:b/>
          <w:color w:val="000000"/>
          <w:sz w:val="28"/>
          <w:szCs w:val="28"/>
          <w:u w:val="single"/>
          <w:lang w:val="uk-UA" w:eastAsia="ru-RU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2. Пункт 17 рішення 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56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 сесії Менської міської ради від 1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 грудня 202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 року № 7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50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«Про бюджет Менської міської територіальної громади на 202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 рік (код бюджету 2551700000)»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викласти у наступній редакції:</w:t>
      </w:r>
      <w:r>
        <w:rPr>
          <w:rFonts w:ascii="Times New Roman" w:hAnsi="Times New Roman" w:eastAsia="Times New Roman" w:cs="Times New Roman"/>
          <w:color w:val="000000"/>
          <w:sz w:val="28"/>
          <w:lang w:val="uk-UA" w:eastAsia="ru-RU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 w:cs="Times New Roman"/>
          <w:color w:val="000000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  <w:t xml:space="preserve">Додатки № 1,2,3,4,5,6,7 до цього рішення є його невід’ємною частиною.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lang w:val="uk-UA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  <w:t xml:space="preserve">Контроль за виконанням рішення покласти на постійну комісію з питань планування, фінансів, бюджету, соціально-економічного розвитку, житлово-комунального господарства та комунального майна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  <w:t xml:space="preserve">Секретар ради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uk-UA" w:bidi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Arial Unicode M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8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784"/>
      <w:pBdr/>
      <w:spacing/>
      <w:ind/>
      <w:rPr>
        <w:sz w:val="16"/>
      </w:rPr>
    </w:pPr>
    <w:r>
      <w:rPr>
        <w:sz w:val="16"/>
      </w:rPr>
    </w:r>
    <w:r>
      <w:rPr>
        <w:sz w:val="16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2345"/>
      </w:pPr>
      <w:rPr>
        <w:rFonts w:hint="default"/>
        <w:b w:val="0"/>
        <w:sz w:val="28"/>
        <w:szCs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 Unicode MS" w:hAnsi="Arial Unicode MS" w:eastAsia="Arial Unicode MS" w:cs="Arial Unicode MS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2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2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2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65">
    <w:name w:val="Intense Emphasis"/>
    <w:basedOn w:val="72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2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2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28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28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2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2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2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8" w:default="1">
    <w:name w:val="Normal"/>
    <w:pPr>
      <w:pBdr/>
      <w:spacing/>
      <w:ind/>
    </w:pPr>
  </w:style>
  <w:style w:type="paragraph" w:styleId="719">
    <w:name w:val="Heading 1"/>
    <w:basedOn w:val="718"/>
    <w:next w:val="718"/>
    <w:link w:val="76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20">
    <w:name w:val="Heading 2"/>
    <w:basedOn w:val="718"/>
    <w:next w:val="718"/>
    <w:link w:val="76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21">
    <w:name w:val="Heading 3"/>
    <w:basedOn w:val="718"/>
    <w:next w:val="718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22">
    <w:name w:val="Heading 4"/>
    <w:basedOn w:val="718"/>
    <w:next w:val="718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3">
    <w:name w:val="Heading 5"/>
    <w:basedOn w:val="718"/>
    <w:next w:val="718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718"/>
    <w:next w:val="718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5">
    <w:name w:val="Heading 7"/>
    <w:basedOn w:val="718"/>
    <w:next w:val="718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6">
    <w:name w:val="Heading 8"/>
    <w:basedOn w:val="718"/>
    <w:next w:val="718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7">
    <w:name w:val="Heading 9"/>
    <w:basedOn w:val="718"/>
    <w:next w:val="718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 w:default="1">
    <w:name w:val="Default Paragraph Font"/>
    <w:uiPriority w:val="1"/>
    <w:semiHidden/>
    <w:unhideWhenUsed/>
    <w:pPr>
      <w:pBdr/>
      <w:spacing/>
      <w:ind/>
    </w:pPr>
  </w:style>
  <w:style w:type="table" w:styleId="72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0" w:default="1">
    <w:name w:val="No List"/>
    <w:uiPriority w:val="99"/>
    <w:semiHidden/>
    <w:unhideWhenUsed/>
    <w:pPr>
      <w:pBdr/>
      <w:spacing/>
      <w:ind/>
    </w:pPr>
  </w:style>
  <w:style w:type="character" w:styleId="731" w:customStyle="1">
    <w:name w:val="Heading 1 Char"/>
    <w:basedOn w:val="7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2" w:customStyle="1">
    <w:name w:val="Heading 2 Char"/>
    <w:basedOn w:val="72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33" w:customStyle="1">
    <w:name w:val="Heading 3 Char"/>
    <w:basedOn w:val="72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34" w:customStyle="1">
    <w:name w:val="Heading 4 Char"/>
    <w:basedOn w:val="72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Heading 5 Char"/>
    <w:basedOn w:val="72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6" w:customStyle="1">
    <w:name w:val="Heading 6 Char"/>
    <w:basedOn w:val="72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Heading 7 Char"/>
    <w:basedOn w:val="72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 w:customStyle="1">
    <w:name w:val="Heading 8 Char"/>
    <w:basedOn w:val="72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9" w:customStyle="1">
    <w:name w:val="Heading 9 Char"/>
    <w:basedOn w:val="72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40" w:customStyle="1">
    <w:name w:val="Title Char"/>
    <w:basedOn w:val="728"/>
    <w:uiPriority w:val="10"/>
    <w:pPr>
      <w:pBdr/>
      <w:spacing/>
      <w:ind/>
    </w:pPr>
    <w:rPr>
      <w:sz w:val="48"/>
      <w:szCs w:val="48"/>
    </w:rPr>
  </w:style>
  <w:style w:type="character" w:styleId="741" w:customStyle="1">
    <w:name w:val="Subtitle Char"/>
    <w:basedOn w:val="728"/>
    <w:uiPriority w:val="11"/>
    <w:pPr>
      <w:pBdr/>
      <w:spacing/>
      <w:ind/>
    </w:pPr>
    <w:rPr>
      <w:sz w:val="24"/>
      <w:szCs w:val="24"/>
    </w:rPr>
  </w:style>
  <w:style w:type="character" w:styleId="742" w:customStyle="1">
    <w:name w:val="Quote Char"/>
    <w:uiPriority w:val="29"/>
    <w:pPr>
      <w:pBdr/>
      <w:spacing/>
      <w:ind/>
    </w:pPr>
    <w:rPr>
      <w:i/>
    </w:rPr>
  </w:style>
  <w:style w:type="character" w:styleId="743" w:customStyle="1">
    <w:name w:val="Intense Quote Char"/>
    <w:uiPriority w:val="30"/>
    <w:pPr>
      <w:pBdr/>
      <w:spacing/>
      <w:ind/>
    </w:pPr>
    <w:rPr>
      <w:i/>
    </w:rPr>
  </w:style>
  <w:style w:type="character" w:styleId="744" w:customStyle="1">
    <w:name w:val="Header Char"/>
    <w:basedOn w:val="728"/>
    <w:uiPriority w:val="99"/>
    <w:pPr>
      <w:pBdr/>
      <w:spacing/>
      <w:ind/>
    </w:pPr>
  </w:style>
  <w:style w:type="character" w:styleId="745" w:customStyle="1">
    <w:name w:val="Caption Char"/>
    <w:uiPriority w:val="99"/>
    <w:pPr>
      <w:pBdr/>
      <w:spacing/>
      <w:ind/>
    </w:pPr>
  </w:style>
  <w:style w:type="table" w:styleId="746" w:customStyle="1">
    <w:name w:val="Звичайна таблиця 11"/>
    <w:basedOn w:val="72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Звичайна таблиця 21"/>
    <w:basedOn w:val="729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Звичайна таблиця 31"/>
    <w:basedOn w:val="72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Звичайна таблиця 41"/>
    <w:basedOn w:val="72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Звичайна таблиця 51"/>
    <w:basedOn w:val="72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Таблиця-сітка 1 (світла)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Таблиця-сітка 21"/>
    <w:basedOn w:val="72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Таблиця-сітка 31"/>
    <w:basedOn w:val="72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Таблиця-сітка 41"/>
    <w:basedOn w:val="729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Таблиця-сітка 5 (темна)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Таблиця-сітка 6 (кольорова)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Таблиця-сітка 7 (кольорова)1"/>
    <w:basedOn w:val="729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Таблиця-список 1 (світлий)1"/>
    <w:basedOn w:val="72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Таблиця-список 2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Таблиця-список 3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Таблиця-список 4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Таблиця-список 5 (темний)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Таблиця-список 6 (кольоровий)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Таблиця-список 7 (кольоровий)1"/>
    <w:basedOn w:val="729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65" w:customStyle="1">
    <w:name w:val="Footnote Text Char"/>
    <w:uiPriority w:val="99"/>
    <w:pPr>
      <w:pBdr/>
      <w:spacing/>
      <w:ind/>
    </w:pPr>
    <w:rPr>
      <w:sz w:val="18"/>
    </w:rPr>
  </w:style>
  <w:style w:type="character" w:styleId="766" w:customStyle="1">
    <w:name w:val="Endnote Text Char"/>
    <w:uiPriority w:val="99"/>
    <w:pPr>
      <w:pBdr/>
      <w:spacing/>
      <w:ind/>
    </w:pPr>
    <w:rPr>
      <w:sz w:val="20"/>
    </w:rPr>
  </w:style>
  <w:style w:type="character" w:styleId="767" w:customStyle="1">
    <w:name w:val="Заголовок 1 Знак"/>
    <w:basedOn w:val="728"/>
    <w:link w:val="71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8" w:customStyle="1">
    <w:name w:val="Заголовок 2 Знак"/>
    <w:basedOn w:val="728"/>
    <w:link w:val="72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9" w:customStyle="1">
    <w:name w:val="Заголовок 3 Знак"/>
    <w:basedOn w:val="728"/>
    <w:link w:val="72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0" w:customStyle="1">
    <w:name w:val="Заголовок 4 Знак"/>
    <w:basedOn w:val="728"/>
    <w:link w:val="72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1" w:customStyle="1">
    <w:name w:val="Заголовок 5 Знак"/>
    <w:basedOn w:val="728"/>
    <w:link w:val="72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2" w:customStyle="1">
    <w:name w:val="Заголовок 6 Знак"/>
    <w:basedOn w:val="728"/>
    <w:link w:val="72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3" w:customStyle="1">
    <w:name w:val="Заголовок 7 Знак"/>
    <w:basedOn w:val="728"/>
    <w:link w:val="7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4" w:customStyle="1">
    <w:name w:val="Заголовок 8 Знак"/>
    <w:basedOn w:val="728"/>
    <w:link w:val="72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5" w:customStyle="1">
    <w:name w:val="Заголовок 9 Знак"/>
    <w:basedOn w:val="728"/>
    <w:link w:val="72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6">
    <w:name w:val="Title"/>
    <w:basedOn w:val="718"/>
    <w:next w:val="718"/>
    <w:link w:val="7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7" w:customStyle="1">
    <w:name w:val="Назва Знак"/>
    <w:basedOn w:val="728"/>
    <w:link w:val="776"/>
    <w:uiPriority w:val="10"/>
    <w:pPr>
      <w:pBdr/>
      <w:spacing/>
      <w:ind/>
    </w:pPr>
    <w:rPr>
      <w:sz w:val="48"/>
      <w:szCs w:val="48"/>
    </w:rPr>
  </w:style>
  <w:style w:type="paragraph" w:styleId="778">
    <w:name w:val="Subtitle"/>
    <w:basedOn w:val="718"/>
    <w:next w:val="718"/>
    <w:link w:val="7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9" w:customStyle="1">
    <w:name w:val="Підзаголовок Знак"/>
    <w:basedOn w:val="728"/>
    <w:link w:val="778"/>
    <w:uiPriority w:val="11"/>
    <w:pPr>
      <w:pBdr/>
      <w:spacing/>
      <w:ind/>
    </w:pPr>
    <w:rPr>
      <w:sz w:val="24"/>
      <w:szCs w:val="24"/>
    </w:rPr>
  </w:style>
  <w:style w:type="paragraph" w:styleId="780">
    <w:name w:val="Quote"/>
    <w:basedOn w:val="718"/>
    <w:next w:val="718"/>
    <w:link w:val="781"/>
    <w:uiPriority w:val="29"/>
    <w:qFormat/>
    <w:pPr>
      <w:pBdr/>
      <w:spacing/>
      <w:ind w:right="720" w:left="720"/>
    </w:pPr>
    <w:rPr>
      <w:i/>
    </w:rPr>
  </w:style>
  <w:style w:type="character" w:styleId="781" w:customStyle="1">
    <w:name w:val="Цитата Знак"/>
    <w:link w:val="780"/>
    <w:uiPriority w:val="29"/>
    <w:pPr>
      <w:pBdr/>
      <w:spacing/>
      <w:ind/>
    </w:pPr>
    <w:rPr>
      <w:i/>
    </w:rPr>
  </w:style>
  <w:style w:type="paragraph" w:styleId="782">
    <w:name w:val="Intense Quote"/>
    <w:basedOn w:val="718"/>
    <w:next w:val="718"/>
    <w:link w:val="7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3" w:customStyle="1">
    <w:name w:val="Насичена цитата Знак"/>
    <w:link w:val="782"/>
    <w:uiPriority w:val="30"/>
    <w:pPr>
      <w:pBdr/>
      <w:spacing/>
      <w:ind/>
    </w:pPr>
    <w:rPr>
      <w:i/>
    </w:rPr>
  </w:style>
  <w:style w:type="paragraph" w:styleId="784">
    <w:name w:val="Header"/>
    <w:basedOn w:val="718"/>
    <w:link w:val="78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85" w:customStyle="1">
    <w:name w:val="Верхній колонтитул Знак"/>
    <w:basedOn w:val="728"/>
    <w:link w:val="784"/>
    <w:uiPriority w:val="99"/>
    <w:pPr>
      <w:pBdr/>
      <w:spacing/>
      <w:ind/>
    </w:pPr>
  </w:style>
  <w:style w:type="paragraph" w:styleId="786">
    <w:name w:val="Footer"/>
    <w:basedOn w:val="718"/>
    <w:link w:val="78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87" w:customStyle="1">
    <w:name w:val="Footer Char"/>
    <w:basedOn w:val="728"/>
    <w:uiPriority w:val="99"/>
    <w:pPr>
      <w:pBdr/>
      <w:spacing/>
      <w:ind/>
    </w:pPr>
  </w:style>
  <w:style w:type="paragraph" w:styleId="788">
    <w:name w:val="Caption"/>
    <w:basedOn w:val="718"/>
    <w:next w:val="71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9" w:customStyle="1">
    <w:name w:val="Нижній колонтитул Знак"/>
    <w:link w:val="786"/>
    <w:uiPriority w:val="99"/>
    <w:pPr>
      <w:pBdr/>
      <w:spacing/>
      <w:ind/>
    </w:pPr>
  </w:style>
  <w:style w:type="table" w:styleId="790">
    <w:name w:val="Table Grid"/>
    <w:basedOn w:val="729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Table Grid Light1"/>
    <w:basedOn w:val="72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Звичайна таблиця 11"/>
    <w:basedOn w:val="72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Звичайна таблиця 21"/>
    <w:basedOn w:val="729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Звичайна таблиця 31"/>
    <w:basedOn w:val="72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Звичайна таблиця 41"/>
    <w:basedOn w:val="72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Звичайна таблиця 51"/>
    <w:basedOn w:val="72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Таблиця-сітка 1 (світла)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1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2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3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4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5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6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Таблиця-сітка 21"/>
    <w:basedOn w:val="72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11"/>
    <w:basedOn w:val="729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21"/>
    <w:basedOn w:val="72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31"/>
    <w:basedOn w:val="72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41"/>
    <w:basedOn w:val="72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51"/>
    <w:basedOn w:val="729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61"/>
    <w:basedOn w:val="729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Таблиця-сітка 31"/>
    <w:basedOn w:val="72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11"/>
    <w:basedOn w:val="729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21"/>
    <w:basedOn w:val="72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31"/>
    <w:basedOn w:val="72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41"/>
    <w:basedOn w:val="72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51"/>
    <w:basedOn w:val="729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61"/>
    <w:basedOn w:val="729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Таблиця-сітка 41"/>
    <w:basedOn w:val="729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11"/>
    <w:basedOn w:val="729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21"/>
    <w:basedOn w:val="729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31"/>
    <w:basedOn w:val="729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41"/>
    <w:basedOn w:val="729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51"/>
    <w:basedOn w:val="729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61"/>
    <w:basedOn w:val="729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Таблиця-сітка 5 (темна)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- Accent 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 - Accent 2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3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- Accent 4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 - Accent 5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6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я-сітка 6 (кольорова)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1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2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3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4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5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6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я-сітка 7 (кольорова)1"/>
    <w:basedOn w:val="729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11"/>
    <w:basedOn w:val="729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21"/>
    <w:basedOn w:val="72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31"/>
    <w:basedOn w:val="72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41"/>
    <w:basedOn w:val="72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51"/>
    <w:basedOn w:val="729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61"/>
    <w:basedOn w:val="729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я-список 1 (світлий)1"/>
    <w:basedOn w:val="72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11"/>
    <w:basedOn w:val="72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21"/>
    <w:basedOn w:val="72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31"/>
    <w:basedOn w:val="72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41"/>
    <w:basedOn w:val="72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51"/>
    <w:basedOn w:val="72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61"/>
    <w:basedOn w:val="72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я-список 2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1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2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3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4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5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6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я-список 3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1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2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3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4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5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6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я-список 4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1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2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3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4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5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6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я-список 5 (темний)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1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2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3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4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5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6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Таблиця-список 6 (кольоровий)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1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2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3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4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5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6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Таблиця-список 7 (кольоровий)1"/>
    <w:basedOn w:val="729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11"/>
    <w:basedOn w:val="729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21"/>
    <w:basedOn w:val="729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31"/>
    <w:basedOn w:val="729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41"/>
    <w:basedOn w:val="729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51"/>
    <w:basedOn w:val="729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61"/>
    <w:basedOn w:val="729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"/>
    <w:basedOn w:val="729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1"/>
    <w:basedOn w:val="729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2"/>
    <w:basedOn w:val="729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3"/>
    <w:basedOn w:val="729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4"/>
    <w:basedOn w:val="729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5"/>
    <w:basedOn w:val="729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6"/>
    <w:basedOn w:val="729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"/>
    <w:basedOn w:val="729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1"/>
    <w:basedOn w:val="729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2"/>
    <w:basedOn w:val="729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3"/>
    <w:basedOn w:val="729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4"/>
    <w:basedOn w:val="729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5"/>
    <w:basedOn w:val="729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6"/>
    <w:basedOn w:val="729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1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2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3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4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5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6"/>
    <w:basedOn w:val="729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7">
    <w:name w:val="footnote text"/>
    <w:basedOn w:val="718"/>
    <w:link w:val="918"/>
    <w:uiPriority w:val="99"/>
    <w:semiHidden/>
    <w:unhideWhenUsed/>
    <w:pPr>
      <w:pBdr/>
      <w:spacing w:after="40"/>
      <w:ind/>
    </w:pPr>
    <w:rPr>
      <w:sz w:val="18"/>
    </w:rPr>
  </w:style>
  <w:style w:type="character" w:styleId="918" w:customStyle="1">
    <w:name w:val="Текст виноски Знак"/>
    <w:link w:val="917"/>
    <w:uiPriority w:val="99"/>
    <w:pPr>
      <w:pBdr/>
      <w:spacing/>
      <w:ind/>
    </w:pPr>
    <w:rPr>
      <w:sz w:val="18"/>
    </w:rPr>
  </w:style>
  <w:style w:type="character" w:styleId="919">
    <w:name w:val="footnote reference"/>
    <w:basedOn w:val="728"/>
    <w:uiPriority w:val="99"/>
    <w:unhideWhenUsed/>
    <w:pPr>
      <w:pBdr/>
      <w:spacing/>
      <w:ind/>
    </w:pPr>
    <w:rPr>
      <w:vertAlign w:val="superscript"/>
    </w:rPr>
  </w:style>
  <w:style w:type="paragraph" w:styleId="920">
    <w:name w:val="endnote text"/>
    <w:basedOn w:val="718"/>
    <w:link w:val="921"/>
    <w:uiPriority w:val="99"/>
    <w:semiHidden/>
    <w:unhideWhenUsed/>
    <w:pPr>
      <w:pBdr/>
      <w:spacing/>
      <w:ind/>
    </w:pPr>
  </w:style>
  <w:style w:type="character" w:styleId="921" w:customStyle="1">
    <w:name w:val="Текст кінцевої виноски Знак"/>
    <w:link w:val="920"/>
    <w:uiPriority w:val="99"/>
    <w:pPr>
      <w:pBdr/>
      <w:spacing/>
      <w:ind/>
    </w:pPr>
    <w:rPr>
      <w:sz w:val="20"/>
    </w:rPr>
  </w:style>
  <w:style w:type="character" w:styleId="922">
    <w:name w:val="endnote reference"/>
    <w:basedOn w:val="728"/>
    <w:uiPriority w:val="99"/>
    <w:semiHidden/>
    <w:unhideWhenUsed/>
    <w:pPr>
      <w:pBdr/>
      <w:spacing/>
      <w:ind/>
    </w:pPr>
    <w:rPr>
      <w:vertAlign w:val="superscript"/>
    </w:rPr>
  </w:style>
  <w:style w:type="paragraph" w:styleId="923">
    <w:name w:val="toc 1"/>
    <w:basedOn w:val="718"/>
    <w:next w:val="718"/>
    <w:uiPriority w:val="39"/>
    <w:unhideWhenUsed/>
    <w:pPr>
      <w:pBdr/>
      <w:spacing w:after="57"/>
      <w:ind/>
    </w:pPr>
  </w:style>
  <w:style w:type="paragraph" w:styleId="924">
    <w:name w:val="toc 2"/>
    <w:basedOn w:val="718"/>
    <w:next w:val="718"/>
    <w:uiPriority w:val="39"/>
    <w:unhideWhenUsed/>
    <w:pPr>
      <w:pBdr/>
      <w:spacing w:after="57"/>
      <w:ind w:left="283"/>
    </w:pPr>
  </w:style>
  <w:style w:type="paragraph" w:styleId="925">
    <w:name w:val="toc 3"/>
    <w:basedOn w:val="718"/>
    <w:next w:val="718"/>
    <w:uiPriority w:val="39"/>
    <w:unhideWhenUsed/>
    <w:pPr>
      <w:pBdr/>
      <w:spacing w:after="57"/>
      <w:ind w:left="567"/>
    </w:pPr>
  </w:style>
  <w:style w:type="paragraph" w:styleId="926">
    <w:name w:val="toc 4"/>
    <w:basedOn w:val="718"/>
    <w:next w:val="718"/>
    <w:uiPriority w:val="39"/>
    <w:unhideWhenUsed/>
    <w:pPr>
      <w:pBdr/>
      <w:spacing w:after="57"/>
      <w:ind w:left="850"/>
    </w:pPr>
  </w:style>
  <w:style w:type="paragraph" w:styleId="927">
    <w:name w:val="toc 5"/>
    <w:basedOn w:val="718"/>
    <w:next w:val="718"/>
    <w:uiPriority w:val="39"/>
    <w:unhideWhenUsed/>
    <w:pPr>
      <w:pBdr/>
      <w:spacing w:after="57"/>
      <w:ind w:left="1134"/>
    </w:pPr>
  </w:style>
  <w:style w:type="paragraph" w:styleId="928">
    <w:name w:val="toc 6"/>
    <w:basedOn w:val="718"/>
    <w:next w:val="718"/>
    <w:uiPriority w:val="39"/>
    <w:unhideWhenUsed/>
    <w:pPr>
      <w:pBdr/>
      <w:spacing w:after="57"/>
      <w:ind w:left="1417"/>
    </w:pPr>
  </w:style>
  <w:style w:type="paragraph" w:styleId="929">
    <w:name w:val="toc 7"/>
    <w:basedOn w:val="718"/>
    <w:next w:val="718"/>
    <w:uiPriority w:val="39"/>
    <w:unhideWhenUsed/>
    <w:pPr>
      <w:pBdr/>
      <w:spacing w:after="57"/>
      <w:ind w:left="1701"/>
    </w:pPr>
  </w:style>
  <w:style w:type="paragraph" w:styleId="930">
    <w:name w:val="toc 8"/>
    <w:basedOn w:val="718"/>
    <w:next w:val="718"/>
    <w:uiPriority w:val="39"/>
    <w:unhideWhenUsed/>
    <w:pPr>
      <w:pBdr/>
      <w:spacing w:after="57"/>
      <w:ind w:left="1984"/>
    </w:pPr>
  </w:style>
  <w:style w:type="paragraph" w:styleId="931">
    <w:name w:val="toc 9"/>
    <w:basedOn w:val="718"/>
    <w:next w:val="718"/>
    <w:uiPriority w:val="39"/>
    <w:unhideWhenUsed/>
    <w:pPr>
      <w:pBdr/>
      <w:spacing w:after="57"/>
      <w:ind w:left="2268"/>
    </w:pPr>
  </w:style>
  <w:style w:type="paragraph" w:styleId="932">
    <w:name w:val="TOC Heading"/>
    <w:uiPriority w:val="39"/>
    <w:unhideWhenUsed/>
    <w:pPr>
      <w:pBdr/>
      <w:spacing/>
      <w:ind/>
    </w:pPr>
  </w:style>
  <w:style w:type="paragraph" w:styleId="933">
    <w:name w:val="table of figures"/>
    <w:basedOn w:val="718"/>
    <w:next w:val="718"/>
    <w:uiPriority w:val="99"/>
    <w:unhideWhenUsed/>
    <w:pPr>
      <w:pBdr/>
      <w:spacing/>
      <w:ind/>
    </w:pPr>
  </w:style>
  <w:style w:type="paragraph" w:styleId="934">
    <w:name w:val="Balloon Text"/>
    <w:basedOn w:val="718"/>
    <w:link w:val="93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35" w:customStyle="1">
    <w:name w:val="Текст у виносці Знак"/>
    <w:basedOn w:val="728"/>
    <w:link w:val="93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36" w:customStyle="1">
    <w:name w:val="rvps2"/>
    <w:basedOn w:val="718"/>
    <w:pPr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7">
    <w:name w:val="List Paragraph"/>
    <w:basedOn w:val="718"/>
    <w:uiPriority w:val="34"/>
    <w:qFormat/>
    <w:pPr>
      <w:pBdr/>
      <w:spacing/>
      <w:ind w:left="720"/>
      <w:contextualSpacing w:val="true"/>
    </w:pPr>
  </w:style>
  <w:style w:type="paragraph" w:styleId="938">
    <w:name w:val="No Spacing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Calibri" w:hAnsi="Calibri" w:eastAsia="Calibri" w:cs="Calibri"/>
      <w:sz w:val="22"/>
      <w:szCs w:val="22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08BFDCB4-5037-423A-8ECA-907F5D4C9B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678449-25D2-4698-A2B0-5D4CB304723B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101</cp:revision>
  <dcterms:created xsi:type="dcterms:W3CDTF">2023-05-09T14:02:00Z</dcterms:created>
  <dcterms:modified xsi:type="dcterms:W3CDTF">2025-11-19T16:29:31Z</dcterms:modified>
</cp:coreProperties>
</file>