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сьома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листопада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716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проекту землеустрою щодо відведення земельної ділянки з метою передачі в оренду Максимець В.А.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Максимець Вікторії Анатоліївни про надання дозволу на виготовлення проекту землеустрою щодо відведення земельної ділянки з метою отримання в оренду з цільовим призначенням «для іншого сільськогосподарського призначення» (код КВЦПЗ 01.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13) орієнтовною площею 0,1000 га на території Менської міської територіальної громади за межами с. Семенівка, враховуючи, що на даній земельній ділянці розташований об’єкт нерухомого майна (вул. Космонавтів, 1-Б), що перебуває на праві власності, керуючись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ст.12, 120, 122 Земельного кодексу України, ст.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 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Максимець Вікторії Анатоліївні на виготовлення проекту землеустрою щодо відведення земельної ділянки  з цільовим призначенням «для іншого сільськогосподарського призначення» (код КВЦПЗ 01.13) з метою передачі в оренду орієнтовною площею 0,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1000 га на території Менської міської територіальної громади за місцем розташування об’єкту нерухомого майна, що перебуває на праві власності (згідно додатку).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Максимець В.А. замовити технічну документацію із землеустрою та подати на затвердження в установленому законодавством порядку.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Рішення набуває чинності з дня доведення до відома Максимець В.А. в установленому законом порядку.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Контроль за виконанням рішення покласти на заступника міського голови з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итань діяльності виконавчих органів ради С.М.Гаєвого</w:t>
      </w:r>
      <w:r>
        <w:rPr>
          <w:rFonts w:ascii="Calibri" w:hAnsi="Calibri" w:eastAsia="Calibri" w:cs="Calibri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378"/>
          <w:tab w:val="left" w:leader="none" w:pos="680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2025-11-19T16:12:28Z</dcterms:modified>
</cp:coreProperties>
</file>