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2"/>
        <w:tblW w:w="10782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43"/>
        <w:gridCol w:w="4535"/>
        <w:gridCol w:w="368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І Реєстрація бізнесу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юридичну особу (крім громадського формування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зміни складу комісії з припинення (комісії з реорганізації,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ліквідаційної комісії), голови комісії або ліквідатора, керуючого припиненням юридичної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виділ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фізичної особи підприємцем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Державна реєстрація припинення підприємницької діяльності фізичної особи — 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00236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документів, що містяться в реєстраційній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справі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юридичної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громадського формування, що не має статусу юридичної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реєстру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відокремленого підрозділу юридичної особи, утвореної відповідно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відокремлений підрозділ юридичної особи, утвореної відповідно до законодавства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містяться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Єдиному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державному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 фізичних осіб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підприємців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формувань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відокремленого підрозділу юридичної особи, утвореної відповідно до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відміни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про припинення відокремленого підрозділу юридичної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утвореної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законодавства іноземної 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 w:line="322" w:lineRule="exac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припинення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відокремленого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юридичної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утвореної відповідно до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держави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спеціального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майнового права на об’єкт 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езавершеного будівництва,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майбутній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нерухомості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відомостями про речові права на земельну ділянку, їх обтяження, одержаними в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 та Держпраці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ділянки надр, надані у користування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 та Держпраці (за наявності), та посиланням на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земельну ділянку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або змін до них про землі в межах територій адміністративно-територіальних одиниць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обмеження у використанні земель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меліоративної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мережі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видачею витягу з Державного земельного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меліоративну мережу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 w:line="242" w:lineRule="auto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складову частину меліоративної мережі 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землі в межах території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00059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02453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кадастру відомостей (змін до них) про землі в межах територій територіальних громад з видачею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витягу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«єМалятко»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"єМалятко":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(абілітацію) осіб з інвалідністю, дітей з інвалідністю, дітей віком до трьох років (включно), які 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допоміжними засобами реабілітації осіб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9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94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94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інваліднстю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професійної (професійно- технічної) освіти, закладах фахової передвищої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caps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94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 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довідки про перебування (не перебування) на обліку в Єдиному державному автоматизованому реєстрі осіб, які мають право на пільги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«Про місцеве самоврядування»,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наказ ЦОВВ від 19.09.2006 №345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затвердження Інструкції щодо порядку оформлення і ведення особових справ отримувачів усіх видів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 w:line="24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війни, гарантії їх соціального захисту” та Законом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“Про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нацистських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ст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укладення договору оренди землі, договору оренди водних об’єктів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  Водний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власності на земельну ділянку, права постійного користування земельною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оренди на земельну ділянку 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і затвердження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Цивільний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документації з нормативної грошової оцінки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«Про оцінку земель»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02479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 адреси закінченому будівництвом об'єкту (після прийняття в експлуатацію)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об’єкта, що будується (на підставі проектної документації)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Переведення дачного і садового будинку у житловий будинок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93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93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діяльності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 даних у поданому повідомленні про виконання підготовчих робіт на об’єкті (зміна відомостей про початок виконання підготовчих робіт/виправлення технічної помилки)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zakon.rada.gov.ua/laws/show/3038-17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21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22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93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00140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виправленням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декларації про готовність до експлуатації об’єкта, будівництво якого здійснено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01873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55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Реєстрація декларації про готовність до експлуатації індивідуальних (садибних), житлових будинків, садових, дачних будинків, господарських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(присадибних)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споруд, будівель і споруд сільськогосподарського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(СС1), збудованих на земельній ділянці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цільового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дозвільного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90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діяльності інформації, зазначеної у декларації, із виправленням технічної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помилки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поданій декларації про готовність до експлуатації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pBdr/>
              <w:spacing w:before="0"/>
              <w:ind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(садибних)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житлових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будинків, садових, дачних будинків, господарс</w:t>
            </w:r>
            <w:r>
              <w:rPr>
                <w:sz w:val="24"/>
                <w:szCs w:val="24"/>
              </w:rPr>
              <w:t xml:space="preserve">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дозвільного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будівельних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декларації, із виправленням технічної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 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готовність до експлуатації об’єкта з незначними наслідками (СС1)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02477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інформації, зазначеної у декларації, із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помилки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поданій декларації про готовність до експлуатації самочинно збудованого об’єкта, на який визнано право власності за рішенням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потужностей (об’єктів) з переробки неїстівних продуктів тваринного походження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 дії дозволу на виконання робіт підвищеної небезпеки та на експлуатацію(застосування) машин, механізмів, устаткування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Переоформлення дозволу на виконання робіт підвищеної небезпеки та на експлуатацію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Витяги та довідки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погосподарської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погосподарського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 «Про мобілізаційну підготовку», ст.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від 16.05.2024 №560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Питання проведення призову громадян на військову службу під час мобілізації, на особливий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904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16.  Реєстрація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створення громадського об’єднання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громадські об'єднання»;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виділ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внесення змін до відомостей про відокремлений підрозділ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створення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політичні партії в Україні»;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реєстрації припинення структурного утворення політичної партії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припинення структурного утворення політичної партії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професійні спілки, їх права та гарантії діяльності»;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професійну спілку, об’єднання професійних спілок,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00494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професійних творчих працівників та творчі спілки»;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творчу спілку, територіальний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соцзахисту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акта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віськовослужбовцям,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акта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782" w:type="dxa"/>
            <w:textDirection w:val="lrTb"/>
            <w:noWrap w:val="false"/>
          </w:tcPr>
          <w:p>
            <w:pPr>
              <w:pStyle w:val="891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 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 Закон України “Про статус ветеранів війни, гарантії їх соціального захисту”; 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строку дії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члена сім’ї загиблого (померлого) ветерана війни та члена сім’ї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сім’ї загиблого (померлого) ветерана війни та члена сім’ї загиблого (померлого) Захисника 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дій, видача посвідчення особам, які з 24 лютого по 25 березня 2022 р. відповідно до Закону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заходів,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необхідних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агресією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Російської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України, перебуваючи безпосередньо в районах та у період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здійснення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зазначених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06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безпосередньої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заходах,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інтересів держави у зв’язку з військовою агресією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01586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направлення для отримання послуги з професійної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звільняються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звільнені з військової служби, з числа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осіб, які мають особливі заслуги перед Батьківщиною, членів сімей таких осіб, членів сімей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війни, членів сімей загиблих (померлих) Захисників та Захисниць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01598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постраждалого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учасника Революції Гідності за заявою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посвідчення учасника бойових дій, виданого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Мінветеранів,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його непридатність,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Виплата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грошової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особам,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захищали незалежність, суверенітет та територіальну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цілісність України, за найм (оренду) ними житлових приміщень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допомоги членам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Захисниць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02596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                                                                                   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4" w:right="851" w:bottom="284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8"/>
      <w:pBdr/>
      <w:spacing w:after="0" w:afterAutospacing="0" w:before="0" w:beforeAutospacing="0"/>
      <w:ind w:left="5670"/>
      <w:jc w:val="right"/>
      <w:rPr>
        <w:bCs w:val="0"/>
        <w:i w:val="0"/>
        <w:iCs/>
        <w:sz w:val="20"/>
        <w:szCs w:val="20"/>
      </w:rPr>
    </w:pPr>
    <w:r>
      <w:rPr>
        <w:i w:val="0"/>
        <w:iCs w:val="0"/>
        <w:sz w:val="20"/>
        <w:szCs w:val="20"/>
      </w:rPr>
    </w:r>
    <w:bookmarkStart w:id="9" w:name="_Hlk71637167"/>
    <w:r>
      <w:rPr>
        <w:i w:val="0"/>
        <w:iCs w:val="0"/>
        <w:color w:val="000000"/>
        <w:sz w:val="22"/>
        <w:szCs w:val="22"/>
      </w:rPr>
      <w:t xml:space="preserve">Продовження додатка </w:t>
    </w:r>
    <w:r>
      <w:rPr>
        <w:i w:val="0"/>
        <w:iCs w:val="0"/>
        <w:color w:val="000000"/>
        <w:sz w:val="22"/>
        <w:szCs w:val="22"/>
      </w:rPr>
      <w:t xml:space="preserve">4</w:t>
    </w:r>
    <w:r>
      <w:rPr>
        <w:i w:val="0"/>
        <w:iCs w:val="0"/>
        <w:color w:val="000000"/>
        <w:sz w:val="22"/>
        <w:szCs w:val="22"/>
      </w:rPr>
      <w:t xml:space="preserve"> </w:t>
    </w:r>
    <w:bookmarkEnd w:id="9"/>
    <w:r>
      <w:rPr>
        <w:i w:val="0"/>
        <w:iCs w:val="0"/>
        <w:sz w:val="20"/>
        <w:szCs w:val="20"/>
      </w:rPr>
    </w:r>
    <w:r>
      <w:rPr>
        <w:i w:val="0"/>
        <w:iCs w:val="0"/>
        <w:sz w:val="20"/>
        <w:szCs w:val="20"/>
      </w:rPr>
    </w:r>
  </w:p>
  <w:p>
    <w:pPr>
      <w:pStyle w:val="900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spacing w:after="0" w:afterAutospacing="0" w:before="0" w:beforeAutospacing="0"/>
      <w:ind w:left="5670"/>
      <w:jc w:val="both"/>
      <w:rPr>
        <w:bCs w:val="0"/>
        <w:i w:val="0"/>
        <w:iCs/>
      </w:rPr>
    </w:pPr>
    <w:r>
      <w:rPr>
        <w:i w:val="0"/>
        <w:iCs w:val="0"/>
        <w:color w:val="000000"/>
        <w:sz w:val="28"/>
        <w:szCs w:val="28"/>
      </w:rPr>
      <w:t xml:space="preserve">Додаток </w:t>
    </w:r>
    <w:r>
      <w:rPr>
        <w:i w:val="0"/>
        <w:iCs w:val="0"/>
        <w:color w:val="000000"/>
        <w:sz w:val="28"/>
        <w:szCs w:val="28"/>
      </w:rPr>
      <w:t xml:space="preserve">4</w:t>
    </w:r>
    <w:r>
      <w:rPr>
        <w:i w:val="0"/>
        <w:iCs w:val="0"/>
        <w:color w:val="000000"/>
        <w:sz w:val="28"/>
        <w:szCs w:val="28"/>
      </w:rPr>
      <w:t xml:space="preserve"> до рішення </w:t>
    </w:r>
    <w:r>
      <w:rPr>
        <w:i w:val="0"/>
        <w:iCs w:val="0"/>
        <w:color w:val="000000"/>
        <w:sz w:val="28"/>
        <w:szCs w:val="28"/>
      </w:rPr>
      <w:t xml:space="preserve">67</w:t>
    </w:r>
    <w:r>
      <w:rPr>
        <w:i w:val="0"/>
        <w:iCs w:val="0"/>
        <w:color w:val="000000"/>
        <w:sz w:val="28"/>
        <w:szCs w:val="28"/>
      </w:rPr>
      <w:t xml:space="preserve"> сесії Менської міської ради 8 скликання від 19 .</w:t>
    </w:r>
    <w:r>
      <w:rPr>
        <w:i w:val="0"/>
        <w:iCs w:val="0"/>
        <w:color w:val="000000"/>
        <w:sz w:val="28"/>
        <w:szCs w:val="28"/>
      </w:rPr>
      <w:t xml:space="preserve">11</w:t>
    </w:r>
    <w:r>
      <w:rPr>
        <w:i w:val="0"/>
        <w:iCs w:val="0"/>
        <w:color w:val="000000"/>
        <w:sz w:val="28"/>
        <w:szCs w:val="28"/>
      </w:rPr>
      <w:t xml:space="preserve">.2025 № 664</w:t>
    </w:r>
    <w:r>
      <w:rPr>
        <w:i w:val="0"/>
        <w:iCs w:val="0"/>
      </w:rPr>
    </w:r>
    <w:r>
      <w:rPr>
        <w:i w:val="0"/>
        <w:iCs w:val="0"/>
      </w:rPr>
    </w:r>
  </w:p>
  <w:p>
    <w:pPr>
      <w:pStyle w:val="900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8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87"/>
    <w:next w:val="887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87"/>
    <w:next w:val="887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87"/>
    <w:next w:val="887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87"/>
    <w:next w:val="887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87"/>
    <w:next w:val="887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87"/>
    <w:next w:val="887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87"/>
    <w:next w:val="887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87"/>
    <w:next w:val="887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87"/>
    <w:next w:val="887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88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88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88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8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88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88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88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88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88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887"/>
    <w:next w:val="887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888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887"/>
    <w:next w:val="887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888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887"/>
    <w:next w:val="887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888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87"/>
    <w:next w:val="887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888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74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6">
    <w:name w:val="Header Char"/>
    <w:basedOn w:val="888"/>
    <w:link w:val="900"/>
    <w:uiPriority w:val="99"/>
    <w:pPr>
      <w:pBdr/>
      <w:spacing/>
      <w:ind/>
    </w:pPr>
  </w:style>
  <w:style w:type="character" w:styleId="877">
    <w:name w:val="Footer Char"/>
    <w:basedOn w:val="888"/>
    <w:link w:val="902"/>
    <w:uiPriority w:val="99"/>
    <w:pPr>
      <w:pBdr/>
      <w:spacing/>
      <w:ind/>
    </w:pPr>
  </w:style>
  <w:style w:type="paragraph" w:styleId="878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87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888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87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88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List Paragraph"/>
    <w:basedOn w:val="887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92">
    <w:name w:val="Table Grid"/>
    <w:basedOn w:val="889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4" w:customStyle="1">
    <w:name w:val="rvts23"/>
    <w:basedOn w:val="888"/>
    <w:pPr>
      <w:pBdr/>
      <w:spacing/>
      <w:ind/>
    </w:pPr>
    <w:rPr>
      <w:rFonts w:cs="Times New Roman"/>
    </w:rPr>
  </w:style>
  <w:style w:type="character" w:styleId="895" w:customStyle="1">
    <w:name w:val="rvts0"/>
    <w:basedOn w:val="888"/>
    <w:pPr>
      <w:pBdr/>
      <w:spacing/>
      <w:ind/>
    </w:pPr>
  </w:style>
  <w:style w:type="character" w:styleId="896">
    <w:name w:val="Strong"/>
    <w:qFormat/>
    <w:pPr>
      <w:pBdr/>
      <w:spacing/>
      <w:ind/>
    </w:pPr>
    <w:rPr>
      <w:rFonts w:cs="Times New Roman"/>
      <w:b/>
      <w:bCs/>
    </w:rPr>
  </w:style>
  <w:style w:type="character" w:styleId="897" w:customStyle="1">
    <w:name w:val="dat"/>
    <w:pPr>
      <w:pBdr/>
      <w:spacing/>
      <w:ind/>
    </w:pPr>
  </w:style>
  <w:style w:type="paragraph" w:styleId="898" w:customStyle="1">
    <w:name w:val="docdata"/>
    <w:basedOn w:val="88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99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Header"/>
    <w:basedOn w:val="887"/>
    <w:link w:val="90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1" w:customStyle="1">
    <w:name w:val="Верхній колонтитул Знак"/>
    <w:basedOn w:val="888"/>
    <w:link w:val="900"/>
    <w:uiPriority w:val="99"/>
    <w:pPr>
      <w:pBdr/>
      <w:spacing/>
      <w:ind/>
    </w:pPr>
  </w:style>
  <w:style w:type="paragraph" w:styleId="902">
    <w:name w:val="Footer"/>
    <w:basedOn w:val="887"/>
    <w:link w:val="903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3" w:customStyle="1">
    <w:name w:val="Нижній колонтитул Знак"/>
    <w:basedOn w:val="888"/>
    <w:link w:val="902"/>
    <w:uiPriority w:val="99"/>
    <w:pPr>
      <w:pBdr/>
      <w:spacing/>
      <w:ind/>
    </w:pPr>
  </w:style>
  <w:style w:type="paragraph" w:styleId="904">
    <w:name w:val="Normal (Web)"/>
    <w:basedOn w:val="88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5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  <w:style w:type="paragraph" w:styleId="906" w:customStyle="1">
    <w:name w:val="Table Paragraph"/>
    <w:basedOn w:val="887"/>
    <w:uiPriority w:val="1"/>
    <w:qFormat/>
    <w:pPr>
      <w:widowControl w:val="false"/>
      <w:pBdr/>
      <w:spacing w:after="0" w:before="54" w:line="240" w:lineRule="auto"/>
      <w:ind w:left="108"/>
      <w:jc w:val="center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0" Type="http://schemas.openxmlformats.org/officeDocument/2006/relationships/hyperlink" Target="https://zakon.rada.gov.ua/laws/show/3038-17" TargetMode="External"/><Relationship Id="rId21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22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5</cp:revision>
  <dcterms:created xsi:type="dcterms:W3CDTF">2025-11-13T13:19:00Z</dcterms:created>
  <dcterms:modified xsi:type="dcterms:W3CDTF">2025-11-21T06:43:33Z</dcterms:modified>
</cp:coreProperties>
</file>