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62"/>
        <w:pBdr/>
        <w:spacing/>
        <w:ind w:right="-57" w:left="6096"/>
        <w:rPr>
          <w:b/>
          <w:sz w:val="28"/>
          <w:szCs w:val="28"/>
          <w:lang w:val="uk-UA"/>
        </w:rPr>
      </w:pPr>
      <w:r>
        <w:rPr>
          <w:rStyle w:val="682"/>
        </w:rPr>
        <w:t xml:space="preserve">Додаток до рішення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682"/>
          <w:lang w:val="uk-UA"/>
        </w:rPr>
        <w:t xml:space="preserve">67 сесії</w:t>
      </w:r>
      <w:r>
        <w:rPr>
          <w:rStyle w:val="682"/>
        </w:rPr>
        <w:t xml:space="preserve"> Менської</w:t>
      </w:r>
      <w:r>
        <w:rPr>
          <w:color w:val="000000"/>
          <w:sz w:val="28"/>
          <w:szCs w:val="28"/>
        </w:rPr>
        <w:t xml:space="preserve"> </w:t>
      </w:r>
      <w:r>
        <w:rPr>
          <w:rStyle w:val="682"/>
        </w:rPr>
        <w:t xml:space="preserve">міської ради</w:t>
      </w:r>
      <w:r>
        <w:rPr>
          <w:rStyle w:val="682"/>
          <w:lang w:val="uk-UA"/>
        </w:rPr>
        <w:t xml:space="preserve"> 8 скликання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682"/>
          <w:lang w:val="uk-UA"/>
        </w:rPr>
        <w:t xml:space="preserve">19 листопада</w:t>
      </w:r>
      <w:r>
        <w:rPr>
          <w:rStyle w:val="682"/>
        </w:rPr>
        <w:t xml:space="preserve"> 2025</w:t>
      </w:r>
      <w:r>
        <w:rPr>
          <w:rStyle w:val="682"/>
        </w:rPr>
        <w:t xml:space="preserve"> року №</w:t>
      </w:r>
      <w:r>
        <w:rPr>
          <w:rStyle w:val="682"/>
          <w:lang w:val="uk-UA"/>
        </w:rPr>
        <w:t xml:space="preserve">661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662"/>
        <w:pBdr/>
        <w:spacing/>
        <w:ind w:right="-5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662"/>
        <w:pBdr/>
        <w:spacing/>
        <w:ind w:right="-5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ПОЯСНЮВАЛЬНА ЗАПИСКА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667"/>
        <w:pBdr/>
        <w:spacing/>
        <w:ind w:firstLine="567"/>
        <w:rPr>
          <w:b/>
        </w:rPr>
      </w:pPr>
      <w:r>
        <w:rPr>
          <w:b/>
        </w:rPr>
        <w:t xml:space="preserve">про виконання бюдж</w:t>
      </w:r>
      <w:r>
        <w:rPr>
          <w:b/>
        </w:rPr>
        <w:t xml:space="preserve">ету Менської міської </w:t>
      </w:r>
      <w:r>
        <w:rPr>
          <w:b/>
        </w:rPr>
        <w:t xml:space="preserve">територіальної громади </w:t>
      </w:r>
      <w:r>
        <w:rPr>
          <w:b/>
        </w:rPr>
      </w:r>
      <w:r>
        <w:rPr>
          <w:b/>
        </w:rPr>
      </w:r>
    </w:p>
    <w:p>
      <w:pPr>
        <w:pStyle w:val="667"/>
        <w:pBdr/>
        <w:spacing/>
        <w:ind w:firstLine="567"/>
        <w:rPr>
          <w:b/>
        </w:rPr>
      </w:pPr>
      <w:r>
        <w:rPr>
          <w:b/>
        </w:rPr>
        <w:t xml:space="preserve">за</w:t>
      </w:r>
      <w:r>
        <w:rPr>
          <w:b/>
        </w:rPr>
        <w:t xml:space="preserve"> </w:t>
      </w:r>
      <w:r>
        <w:rPr>
          <w:b/>
        </w:rPr>
        <w:t xml:space="preserve">9 місяців</w:t>
      </w:r>
      <w:r>
        <w:rPr>
          <w:b/>
        </w:rPr>
        <w:t xml:space="preserve"> </w:t>
      </w:r>
      <w:r>
        <w:rPr>
          <w:b/>
        </w:rPr>
        <w:t xml:space="preserve">202</w:t>
      </w:r>
      <w:r>
        <w:rPr>
          <w:b/>
        </w:rPr>
        <w:t xml:space="preserve">5</w:t>
      </w:r>
      <w:r>
        <w:rPr>
          <w:b/>
        </w:rPr>
        <w:t xml:space="preserve"> </w:t>
      </w:r>
      <w:r>
        <w:rPr>
          <w:b/>
        </w:rPr>
        <w:t xml:space="preserve">року</w:t>
      </w:r>
      <w:r>
        <w:rPr>
          <w:b/>
        </w:rPr>
      </w:r>
      <w:r>
        <w:rPr>
          <w:b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Підсумки виконання дохідної частини загально</w:t>
      </w:r>
      <w:r>
        <w:rPr>
          <w:sz w:val="28"/>
          <w:szCs w:val="28"/>
          <w:lang w:val="uk-UA"/>
        </w:rPr>
        <w:t xml:space="preserve">го фонду бюджету Менської ТГ за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9 місяців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</w:t>
      </w:r>
      <w:r>
        <w:rPr>
          <w:sz w:val="28"/>
          <w:szCs w:val="28"/>
          <w:lang w:val="uk-UA"/>
        </w:rPr>
        <w:t xml:space="preserve">5 року</w:t>
      </w:r>
      <w:r>
        <w:rPr>
          <w:sz w:val="28"/>
          <w:szCs w:val="28"/>
          <w:lang w:val="uk-UA"/>
        </w:rPr>
        <w:t xml:space="preserve"> свідчать про те, що план надходжень податків, зборів, платежів (без міжбюджетних</w:t>
      </w:r>
      <w:r>
        <w:rPr>
          <w:sz w:val="28"/>
          <w:szCs w:val="28"/>
          <w:lang w:val="uk-UA"/>
        </w:rPr>
        <w:t xml:space="preserve"> трансфертів) виконано на </w:t>
      </w:r>
      <w:r>
        <w:rPr>
          <w:sz w:val="28"/>
          <w:szCs w:val="28"/>
          <w:lang w:val="uk-UA"/>
        </w:rPr>
        <w:t xml:space="preserve">104,1</w:t>
      </w:r>
      <w:r>
        <w:rPr>
          <w:sz w:val="28"/>
          <w:szCs w:val="28"/>
          <w:lang w:val="uk-UA"/>
        </w:rPr>
        <w:t xml:space="preserve">%, </w:t>
      </w:r>
      <w:r>
        <w:rPr>
          <w:sz w:val="28"/>
          <w:szCs w:val="28"/>
          <w:lang w:val="uk-UA"/>
        </w:rPr>
        <w:t xml:space="preserve">пере</w:t>
      </w:r>
      <w:r>
        <w:rPr>
          <w:sz w:val="28"/>
          <w:szCs w:val="28"/>
          <w:lang w:val="uk-UA"/>
        </w:rPr>
        <w:t xml:space="preserve">виконання становить </w:t>
      </w:r>
      <w:r>
        <w:rPr>
          <w:sz w:val="28"/>
          <w:szCs w:val="28"/>
          <w:lang w:val="uk-UA"/>
        </w:rPr>
        <w:t xml:space="preserve">6</w:t>
      </w:r>
      <w:r>
        <w:rPr>
          <w:sz w:val="28"/>
          <w:szCs w:val="28"/>
          <w:lang w:val="uk-UA"/>
        </w:rPr>
        <w:t xml:space="preserve"> 758,1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(план – </w:t>
      </w:r>
      <w:r>
        <w:rPr>
          <w:sz w:val="28"/>
          <w:szCs w:val="28"/>
          <w:lang w:val="uk-UA"/>
        </w:rPr>
        <w:t xml:space="preserve">165 943,1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факт – </w:t>
      </w:r>
      <w:r>
        <w:rPr>
          <w:sz w:val="28"/>
          <w:szCs w:val="28"/>
          <w:lang w:val="uk-UA"/>
        </w:rPr>
        <w:t xml:space="preserve">172 701,2</w:t>
      </w:r>
      <w:r>
        <w:rPr>
          <w:sz w:val="28"/>
          <w:szCs w:val="28"/>
          <w:lang w:val="uk-UA"/>
        </w:rPr>
        <w:t xml:space="preserve"> тис. грн): 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u w:val="single"/>
          <w:lang w:val="uk-UA"/>
        </w:rPr>
        <w:t xml:space="preserve">податкові надходження </w:t>
      </w:r>
      <w:r>
        <w:rPr>
          <w:sz w:val="28"/>
          <w:szCs w:val="28"/>
          <w:lang w:val="uk-UA"/>
        </w:rPr>
        <w:t xml:space="preserve">виконані на </w:t>
      </w:r>
      <w:r>
        <w:rPr>
          <w:sz w:val="28"/>
          <w:szCs w:val="28"/>
          <w:lang w:val="uk-UA"/>
        </w:rPr>
        <w:t xml:space="preserve">104,1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%, </w:t>
      </w:r>
      <w:r>
        <w:rPr>
          <w:sz w:val="28"/>
          <w:szCs w:val="28"/>
          <w:lang w:val="uk-UA"/>
        </w:rPr>
        <w:t xml:space="preserve">пере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иконання становить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6 616,0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u w:val="single"/>
          <w:lang w:val="uk-UA"/>
        </w:rPr>
        <w:t xml:space="preserve">неподаткові надходження</w:t>
      </w:r>
      <w:r>
        <w:rPr>
          <w:sz w:val="28"/>
          <w:szCs w:val="28"/>
          <w:lang w:val="uk-UA"/>
        </w:rPr>
        <w:t xml:space="preserve"> виконані на </w:t>
      </w:r>
      <w:r>
        <w:rPr>
          <w:sz w:val="28"/>
          <w:szCs w:val="28"/>
          <w:lang w:val="uk-UA"/>
        </w:rPr>
        <w:t xml:space="preserve">102,7</w:t>
      </w:r>
      <w:r>
        <w:rPr>
          <w:sz w:val="28"/>
          <w:szCs w:val="28"/>
          <w:lang w:val="uk-UA"/>
        </w:rPr>
        <w:t xml:space="preserve"> %</w:t>
      </w:r>
      <w:r>
        <w:rPr>
          <w:sz w:val="28"/>
          <w:szCs w:val="28"/>
          <w:lang w:val="uk-UA"/>
        </w:rPr>
        <w:t xml:space="preserve">, перевиконання становить  </w:t>
      </w:r>
      <w:r>
        <w:rPr>
          <w:sz w:val="28"/>
          <w:szCs w:val="28"/>
          <w:lang w:val="uk-UA"/>
        </w:rPr>
        <w:t xml:space="preserve">142,1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Надходження дотацій та субвенцій складають 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96452,1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в тому числі: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базо</w:t>
      </w:r>
      <w:r>
        <w:rPr>
          <w:sz w:val="28"/>
          <w:szCs w:val="28"/>
          <w:lang w:val="uk-UA"/>
        </w:rPr>
        <w:t xml:space="preserve">ва дотація (41020100) – </w:t>
      </w:r>
      <w:r>
        <w:rPr>
          <w:sz w:val="28"/>
          <w:szCs w:val="28"/>
          <w:lang w:val="uk-UA"/>
        </w:rPr>
        <w:t xml:space="preserve">18 155,7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</w:t>
      </w:r>
      <w:r>
        <w:rPr>
          <w:sz w:val="28"/>
          <w:szCs w:val="28"/>
          <w:lang w:val="uk-UA"/>
        </w:rPr>
        <w:t xml:space="preserve"> харчоблоки (41033500) – 10 707,2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освітня</w:t>
      </w:r>
      <w:r>
        <w:rPr>
          <w:sz w:val="28"/>
          <w:szCs w:val="28"/>
          <w:lang w:val="uk-UA"/>
        </w:rPr>
        <w:t xml:space="preserve"> субвенція (41033900) – </w:t>
      </w:r>
      <w:r>
        <w:rPr>
          <w:sz w:val="28"/>
          <w:szCs w:val="28"/>
          <w:lang w:val="uk-UA"/>
        </w:rPr>
        <w:t xml:space="preserve">56 688,5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підтримку осіб з особливими осв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тніми потребами (41035400) – 196,0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</w:t>
      </w:r>
      <w:r>
        <w:rPr>
          <w:sz w:val="28"/>
          <w:szCs w:val="28"/>
          <w:lang w:val="uk-UA"/>
        </w:rPr>
        <w:t xml:space="preserve">убвенція НУШ на реалізацію інвестиці</w:t>
      </w:r>
      <w:r>
        <w:rPr>
          <w:sz w:val="28"/>
          <w:szCs w:val="28"/>
          <w:lang w:val="uk-UA"/>
        </w:rPr>
        <w:t xml:space="preserve">йного проекту (41036000) – 1 268,0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доплату педагогам (41036300)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5 104,7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житло (41050200) – 2 750,9 тис. грн;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інклюзивно-ресурсний центр за рахунок освітн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ої субвенції (41051000) – 1 213,3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інші субвенції з місцевого бюджету (41053900) – </w:t>
      </w:r>
      <w:r>
        <w:rPr>
          <w:sz w:val="28"/>
          <w:szCs w:val="28"/>
          <w:lang w:val="uk-UA"/>
        </w:rPr>
        <w:t xml:space="preserve">306,2</w:t>
      </w:r>
      <w:r>
        <w:rPr>
          <w:sz w:val="28"/>
          <w:szCs w:val="28"/>
          <w:lang w:val="uk-UA"/>
        </w:rPr>
        <w:t xml:space="preserve"> тис. грн, з них: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утримання об’єкта спільного користування Менського центру ПМСД (з</w:t>
      </w:r>
      <w:r>
        <w:rPr>
          <w:sz w:val="28"/>
          <w:szCs w:val="28"/>
          <w:lang w:val="uk-UA"/>
        </w:rPr>
        <w:t xml:space="preserve"> бюджету</w:t>
      </w:r>
      <w:r>
        <w:rPr>
          <w:sz w:val="28"/>
          <w:szCs w:val="28"/>
          <w:lang w:val="uk-UA"/>
        </w:rPr>
        <w:t xml:space="preserve"> Березнянської ТГ) – </w:t>
      </w:r>
      <w:r>
        <w:rPr>
          <w:sz w:val="28"/>
          <w:szCs w:val="28"/>
          <w:lang w:val="uk-UA"/>
        </w:rPr>
        <w:t xml:space="preserve">21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пільгове медичне обслуговування осіб, які постраждали внаслідок Чорнобильської катаст</w:t>
      </w:r>
      <w:r>
        <w:rPr>
          <w:sz w:val="28"/>
          <w:szCs w:val="28"/>
          <w:lang w:val="uk-UA"/>
        </w:rPr>
        <w:t xml:space="preserve">рофи (з обласного бюджету) – </w:t>
      </w:r>
      <w:r>
        <w:rPr>
          <w:sz w:val="28"/>
          <w:szCs w:val="28"/>
          <w:lang w:val="uk-UA"/>
        </w:rPr>
        <w:t xml:space="preserve">29,2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3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виконання депутатських повноважень (з обласного бюджету) – 65,0 тис. грн.</w:t>
      </w:r>
      <w:r>
        <w:rPr>
          <w:sz w:val="28"/>
          <w:szCs w:val="28"/>
          <w:lang w:val="uk-UA"/>
        </w:rPr>
      </w:r>
    </w:p>
    <w:p>
      <w:pPr>
        <w:pStyle w:val="669"/>
        <w:numPr>
          <w:ilvl w:val="0"/>
          <w:numId w:val="2"/>
        </w:numPr>
        <w:pBdr/>
        <w:tabs>
          <w:tab w:val="left" w:leader="none" w:pos="284"/>
        </w:tabs>
        <w:spacing w:after="0"/>
        <w:ind w:right="-5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субвенція на спеціаліста із супроводу ветеранів (41059300) – 61,6 тис. грн.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Видаткова частина загального фо</w:t>
      </w:r>
      <w:r>
        <w:rPr>
          <w:sz w:val="28"/>
          <w:szCs w:val="28"/>
          <w:lang w:val="uk-UA"/>
        </w:rPr>
        <w:t xml:space="preserve">нду </w:t>
      </w:r>
      <w:r>
        <w:rPr>
          <w:sz w:val="28"/>
          <w:szCs w:val="28"/>
          <w:lang w:val="uk-UA"/>
        </w:rPr>
        <w:t xml:space="preserve">бюджету виконана в сумі </w:t>
      </w:r>
      <w:r>
        <w:rPr>
          <w:sz w:val="28"/>
          <w:szCs w:val="28"/>
          <w:lang w:val="uk-UA"/>
        </w:rPr>
        <w:t xml:space="preserve">224 193,7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, що складає </w:t>
      </w:r>
      <w:r>
        <w:rPr>
          <w:sz w:val="28"/>
          <w:szCs w:val="28"/>
          <w:lang w:val="uk-UA"/>
        </w:rPr>
        <w:t xml:space="preserve">82,6</w:t>
      </w:r>
      <w:r>
        <w:rPr>
          <w:sz w:val="28"/>
          <w:szCs w:val="28"/>
          <w:lang w:val="uk-UA"/>
        </w:rPr>
        <w:t xml:space="preserve"> % до планового періоду, а саме на: 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оплату праці працівників бюджетних установ та нарахування на неї – </w:t>
      </w:r>
      <w:r>
        <w:rPr>
          <w:sz w:val="28"/>
          <w:szCs w:val="28"/>
          <w:lang w:val="uk-UA"/>
        </w:rPr>
        <w:t xml:space="preserve">163 811,7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 </w:t>
      </w:r>
      <w:r>
        <w:rPr>
          <w:sz w:val="28"/>
          <w:szCs w:val="28"/>
          <w:lang w:val="uk-UA"/>
        </w:rPr>
        <w:t xml:space="preserve">(73,1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спожиті енергоносії </w:t>
      </w:r>
      <w:r>
        <w:rPr>
          <w:sz w:val="28"/>
          <w:szCs w:val="28"/>
          <w:lang w:val="uk-UA"/>
        </w:rPr>
        <w:t xml:space="preserve">–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16 156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6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7,2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придбання продуктів харчування – </w:t>
      </w:r>
      <w:r>
        <w:rPr>
          <w:sz w:val="28"/>
          <w:szCs w:val="28"/>
          <w:lang w:val="uk-UA"/>
        </w:rPr>
        <w:t xml:space="preserve">4 132,0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</w:t>
      </w:r>
      <w:r>
        <w:rPr>
          <w:sz w:val="28"/>
          <w:szCs w:val="28"/>
          <w:lang w:val="uk-UA"/>
        </w:rPr>
        <w:t xml:space="preserve">2,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медикаменти – </w:t>
      </w:r>
      <w:r>
        <w:rPr>
          <w:sz w:val="28"/>
          <w:szCs w:val="28"/>
          <w:lang w:val="uk-UA"/>
        </w:rPr>
        <w:t xml:space="preserve">76,5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виплати населенню – </w:t>
      </w:r>
      <w:r>
        <w:rPr>
          <w:sz w:val="28"/>
          <w:szCs w:val="28"/>
          <w:lang w:val="uk-UA"/>
        </w:rPr>
        <w:t xml:space="preserve">4 698,4</w:t>
      </w:r>
      <w:r>
        <w:rPr>
          <w:sz w:val="28"/>
          <w:szCs w:val="28"/>
          <w:lang w:val="uk-UA"/>
        </w:rPr>
        <w:t xml:space="preserve"> тис</w:t>
      </w:r>
      <w:r>
        <w:rPr>
          <w:sz w:val="28"/>
          <w:szCs w:val="28"/>
          <w:lang w:val="uk-UA"/>
        </w:rPr>
        <w:t xml:space="preserve">. грн (2,1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субсидії і поточні трансферти</w:t>
      </w:r>
      <w:r>
        <w:rPr>
          <w:sz w:val="28"/>
          <w:szCs w:val="28"/>
          <w:lang w:val="uk-UA"/>
        </w:rPr>
        <w:t xml:space="preserve"> підприємствам – 13 756,1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6,1</w:t>
      </w:r>
      <w:r>
        <w:rPr>
          <w:sz w:val="28"/>
          <w:szCs w:val="28"/>
          <w:lang w:val="uk-UA"/>
        </w:rPr>
        <w:t xml:space="preserve">% загальної суми видатків);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субвенції з місцевого бюджету – </w:t>
      </w:r>
      <w:r>
        <w:rPr>
          <w:sz w:val="28"/>
          <w:szCs w:val="28"/>
          <w:lang w:val="uk-UA"/>
        </w:rPr>
        <w:t xml:space="preserve">3 144,7</w:t>
      </w:r>
      <w:r>
        <w:rPr>
          <w:sz w:val="28"/>
          <w:szCs w:val="28"/>
          <w:lang w:val="uk-UA"/>
        </w:rPr>
        <w:t xml:space="preserve"> тис. грн (1,4</w:t>
      </w:r>
      <w:r>
        <w:rPr>
          <w:sz w:val="28"/>
          <w:szCs w:val="28"/>
          <w:lang w:val="uk-UA"/>
        </w:rPr>
        <w:t xml:space="preserve">% загальної суми видатків)</w:t>
      </w:r>
      <w:r>
        <w:rPr>
          <w:sz w:val="28"/>
          <w:szCs w:val="28"/>
          <w:lang w:val="uk-UA"/>
        </w:rPr>
        <w:t xml:space="preserve">, а саме: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утримання бригад Бірківського та Макошинського пунктів Менської підстанції Корюківської станції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Е(Ш)МД</w:t>
      </w:r>
      <w:r>
        <w:rPr>
          <w:sz w:val="28"/>
          <w:szCs w:val="28"/>
          <w:lang w:val="uk-UA"/>
        </w:rPr>
        <w:t xml:space="preserve"> в сумі 2 945,7</w:t>
      </w:r>
      <w:r>
        <w:rPr>
          <w:sz w:val="28"/>
          <w:szCs w:val="28"/>
          <w:lang w:val="uk-UA"/>
        </w:rPr>
        <w:t xml:space="preserve"> тис. грн та на проведення поточного ремонту на Менській підстанції в сумі 199,0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субвенції з місцевого </w:t>
      </w:r>
      <w:r>
        <w:rPr>
          <w:sz w:val="28"/>
          <w:szCs w:val="28"/>
          <w:lang w:val="uk-UA"/>
        </w:rPr>
        <w:t xml:space="preserve">бюджету державному бюджету – 1 5</w:t>
      </w:r>
      <w:r>
        <w:rPr>
          <w:sz w:val="28"/>
          <w:szCs w:val="28"/>
          <w:lang w:val="uk-UA"/>
        </w:rPr>
        <w:t xml:space="preserve">56,0 тис. грн</w:t>
      </w:r>
      <w:r>
        <w:rPr>
          <w:sz w:val="28"/>
          <w:szCs w:val="28"/>
          <w:lang w:val="uk-UA"/>
        </w:rPr>
        <w:t xml:space="preserve"> (0,7% загальної суми видатків)</w:t>
      </w:r>
      <w:r>
        <w:rPr>
          <w:sz w:val="28"/>
          <w:szCs w:val="28"/>
          <w:lang w:val="uk-UA"/>
        </w:rPr>
        <w:t xml:space="preserve">, а саме: на проведення ремонтних робіт, необхідних для впровадження системи "Custody Records" в відділенні поліції №1 м.Мена в сумі 800,0 тис. </w:t>
      </w:r>
      <w:r>
        <w:rPr>
          <w:sz w:val="28"/>
          <w:szCs w:val="28"/>
          <w:lang w:val="uk-UA"/>
        </w:rPr>
        <w:t xml:space="preserve">грн;</w:t>
      </w:r>
      <w:r>
        <w:rPr>
          <w:sz w:val="28"/>
          <w:szCs w:val="28"/>
          <w:lang w:val="uk-UA"/>
        </w:rPr>
        <w:t xml:space="preserve"> на паливо-мастильні матеріали для відділе</w:t>
      </w:r>
      <w:r>
        <w:rPr>
          <w:sz w:val="28"/>
          <w:szCs w:val="28"/>
          <w:lang w:val="uk-UA"/>
        </w:rPr>
        <w:t xml:space="preserve">ння поліції №1 м.Мена в сумі 300</w:t>
      </w:r>
      <w:r>
        <w:rPr>
          <w:sz w:val="28"/>
          <w:szCs w:val="28"/>
          <w:lang w:val="uk-UA"/>
        </w:rPr>
        <w:t xml:space="preserve">,0 тис. грн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Регіональному сервісному центру ГСЦ МВС на облаштування в ТСЦ №7444 (м.Мена) додаткової споруди (санвузла пристосованого для маломобільних груп населення</w:t>
      </w:r>
      <w:r>
        <w:rPr>
          <w:sz w:val="28"/>
          <w:szCs w:val="28"/>
          <w:lang w:val="uk-UA"/>
        </w:rPr>
        <w:t xml:space="preserve">)</w:t>
      </w:r>
      <w:r>
        <w:rPr>
          <w:sz w:val="28"/>
          <w:szCs w:val="28"/>
          <w:lang w:val="uk-UA"/>
        </w:rPr>
        <w:t xml:space="preserve"> в сумі 200,0 тис. грн</w:t>
      </w:r>
      <w:r>
        <w:rPr>
          <w:sz w:val="28"/>
          <w:szCs w:val="28"/>
          <w:lang w:val="uk-UA"/>
        </w:rPr>
        <w:t xml:space="preserve">; на ЗСУ в сумі 6,0 тис. </w:t>
      </w:r>
      <w:r>
        <w:rPr>
          <w:sz w:val="28"/>
          <w:szCs w:val="28"/>
          <w:lang w:val="uk-UA"/>
        </w:rPr>
        <w:t xml:space="preserve">грн;</w:t>
      </w:r>
      <w:r>
        <w:rPr>
          <w:sz w:val="28"/>
          <w:szCs w:val="28"/>
          <w:lang w:val="uk-UA"/>
        </w:rPr>
        <w:t xml:space="preserve"> 10 ДПРЧ (м.Мена) 1 ДПРЗ ГУ ДСНС УКРАЇНИ на ремонт приміщення в сумі 250,0 тис.грн.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інші видатки – </w:t>
      </w:r>
      <w:r>
        <w:rPr>
          <w:sz w:val="28"/>
          <w:szCs w:val="28"/>
          <w:lang w:val="uk-UA"/>
        </w:rPr>
        <w:t xml:space="preserve">16 861,8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 (що скла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ає </w:t>
      </w:r>
      <w:r>
        <w:rPr>
          <w:sz w:val="28"/>
          <w:szCs w:val="28"/>
          <w:lang w:val="uk-UA"/>
        </w:rPr>
        <w:t xml:space="preserve">7,5</w:t>
      </w:r>
      <w:r>
        <w:rPr>
          <w:sz w:val="28"/>
          <w:szCs w:val="28"/>
          <w:lang w:val="uk-UA"/>
        </w:rPr>
        <w:t xml:space="preserve">% від загальної суми видатків).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567"/>
        <w:rPr>
          <w:rStyle w:val="682"/>
          <w:lang w:val="uk-UA"/>
        </w:rPr>
      </w:pPr>
      <w:r>
        <w:rPr>
          <w:rStyle w:val="682"/>
          <w:lang w:val="uk-UA"/>
        </w:rPr>
        <w:t xml:space="preserve">За напрямками фінансування кошти розподілені наступним чином: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державне </w:t>
      </w:r>
      <w:r>
        <w:rPr>
          <w:rStyle w:val="682"/>
          <w:lang w:val="uk-UA"/>
        </w:rPr>
        <w:t xml:space="preserve">управління – 32 610,1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дошкі</w:t>
      </w:r>
      <w:r>
        <w:rPr>
          <w:rStyle w:val="682"/>
          <w:lang w:val="uk-UA"/>
        </w:rPr>
        <w:t xml:space="preserve">льні навчальні заклади – </w:t>
      </w:r>
      <w:r>
        <w:rPr>
          <w:rStyle w:val="682"/>
          <w:lang w:val="uk-UA"/>
        </w:rPr>
        <w:t xml:space="preserve">22 981,6</w:t>
      </w:r>
      <w:r>
        <w:rPr>
          <w:rStyle w:val="682"/>
          <w:lang w:val="uk-UA"/>
        </w:rPr>
        <w:t xml:space="preserve">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з</w:t>
      </w:r>
      <w:r>
        <w:rPr>
          <w:rStyle w:val="682"/>
          <w:lang w:val="uk-UA"/>
        </w:rPr>
        <w:t xml:space="preserve">а</w:t>
      </w:r>
      <w:r>
        <w:rPr>
          <w:rStyle w:val="682"/>
          <w:lang w:val="uk-UA"/>
        </w:rPr>
        <w:t xml:space="preserve">гальноосвітні заклади – </w:t>
      </w:r>
      <w:r>
        <w:rPr>
          <w:rStyle w:val="682"/>
          <w:lang w:val="uk-UA"/>
        </w:rPr>
        <w:t xml:space="preserve">87 </w:t>
      </w:r>
      <w:r>
        <w:rPr>
          <w:rStyle w:val="682"/>
          <w:lang w:val="uk-UA"/>
        </w:rPr>
        <w:t xml:space="preserve">82</w:t>
      </w:r>
      <w:r>
        <w:rPr>
          <w:rStyle w:val="682"/>
          <w:lang w:val="uk-UA"/>
        </w:rPr>
        <w:t xml:space="preserve">2,</w:t>
      </w:r>
      <w:r>
        <w:rPr>
          <w:rStyle w:val="682"/>
          <w:lang w:val="uk-UA"/>
        </w:rPr>
        <w:t xml:space="preserve">9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позашкільна освіта – 3 322,6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мистецька шк</w:t>
      </w:r>
      <w:r>
        <w:rPr>
          <w:rStyle w:val="682"/>
          <w:lang w:val="uk-UA"/>
        </w:rPr>
        <w:t xml:space="preserve">ола – 4 583,9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інші заклади освіти (МНВК, Центр з обслуговування освітніх установ)–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8 840,9</w:t>
      </w:r>
      <w:r>
        <w:rPr>
          <w:rStyle w:val="682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центр професійного р</w:t>
      </w:r>
      <w:r>
        <w:rPr>
          <w:rStyle w:val="682"/>
          <w:lang w:val="uk-UA"/>
        </w:rPr>
        <w:t xml:space="preserve">озвитку педпрацівників – 850,0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ІРЦ – </w:t>
      </w:r>
      <w:r>
        <w:rPr>
          <w:rStyle w:val="682"/>
          <w:lang w:val="uk-UA"/>
        </w:rPr>
        <w:t xml:space="preserve">1 163</w:t>
      </w:r>
      <w:r>
        <w:rPr>
          <w:rStyle w:val="682"/>
          <w:lang w:val="uk-UA"/>
        </w:rPr>
        <w:t xml:space="preserve">,8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надання підтримки особам з особл</w:t>
      </w:r>
      <w:r>
        <w:rPr>
          <w:rStyle w:val="682"/>
          <w:lang w:val="uk-UA"/>
        </w:rPr>
        <w:t xml:space="preserve">ивими освітніми потребами – 168,0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і</w:t>
      </w:r>
      <w:r>
        <w:rPr>
          <w:rStyle w:val="682"/>
          <w:lang w:val="uk-UA"/>
        </w:rPr>
        <w:t xml:space="preserve">нші програми по освіті – 184,9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rStyle w:val="682"/>
          <w:lang w:val="uk-UA"/>
        </w:rPr>
      </w:r>
      <w:r>
        <w:rPr>
          <w:rStyle w:val="682"/>
          <w:lang w:val="uk-UA"/>
        </w:rPr>
      </w:r>
    </w:p>
    <w:p>
      <w:pPr>
        <w:pStyle w:val="669"/>
        <w:pBdr/>
        <w:spacing w:after="0"/>
        <w:ind w:right="-57" w:left="567"/>
        <w:rPr>
          <w:rStyle w:val="682"/>
          <w:lang w:val="uk-UA"/>
        </w:rPr>
      </w:pPr>
      <w:r>
        <w:rPr>
          <w:rStyle w:val="682"/>
          <w:lang w:val="uk-UA"/>
        </w:rPr>
        <w:t xml:space="preserve">- охорона здоров’я – </w:t>
      </w:r>
      <w:r>
        <w:rPr>
          <w:rStyle w:val="682"/>
          <w:lang w:val="uk-UA"/>
        </w:rPr>
        <w:t xml:space="preserve">5 844,3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територіальний центр соц</w:t>
      </w:r>
      <w:r>
        <w:rPr>
          <w:rStyle w:val="682"/>
          <w:lang w:val="uk-UA"/>
        </w:rPr>
        <w:t xml:space="preserve">і</w:t>
      </w:r>
      <w:r>
        <w:rPr>
          <w:rStyle w:val="682"/>
          <w:lang w:val="uk-UA"/>
        </w:rPr>
        <w:t xml:space="preserve">ального обслуговування – </w:t>
      </w:r>
      <w:r>
        <w:rPr>
          <w:rStyle w:val="682"/>
          <w:lang w:val="uk-UA"/>
        </w:rPr>
        <w:t xml:space="preserve">10 335,9</w:t>
      </w:r>
      <w:r>
        <w:rPr>
          <w:rStyle w:val="682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центр соціальних служб для</w:t>
      </w:r>
      <w:r>
        <w:rPr>
          <w:rStyle w:val="682"/>
          <w:lang w:val="uk-UA"/>
        </w:rPr>
        <w:t xml:space="preserve"> сім’ї, дітей та молоді – 2 169,9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виплати фізичним особам, які надають соціальні послуги громадянам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похилого віку – 976,4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rStyle w:val="682"/>
          <w:lang w:val="uk-UA"/>
        </w:rPr>
      </w:r>
      <w:r>
        <w:rPr>
          <w:rStyle w:val="682"/>
          <w:lang w:val="uk-UA"/>
        </w:rPr>
      </w:r>
    </w:p>
    <w:p>
      <w:pPr>
        <w:pStyle w:val="669"/>
        <w:pBdr/>
        <w:spacing w:after="0"/>
        <w:ind w:right="-57" w:left="567"/>
        <w:rPr>
          <w:color w:val="000000"/>
          <w:sz w:val="28"/>
          <w:szCs w:val="28"/>
          <w:lang w:val="uk-UA"/>
        </w:rPr>
      </w:pPr>
      <w:r>
        <w:rPr>
          <w:rStyle w:val="682"/>
          <w:lang w:val="uk-UA"/>
        </w:rPr>
        <w:t xml:space="preserve">- забезпечення діяльності фахівців із супроводу ветеранів – 61,6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інші заходи у сфері соціального захисту і соціального забезпечення –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4048,0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публічна бібліотека – 4 077,8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краєзнавчий музей –</w:t>
      </w:r>
      <w:r>
        <w:rPr>
          <w:rStyle w:val="682"/>
          <w:lang w:val="uk-UA"/>
        </w:rPr>
        <w:t xml:space="preserve"> 411,9</w:t>
      </w:r>
      <w:r>
        <w:rPr>
          <w:rStyle w:val="682"/>
          <w:lang w:val="uk-UA"/>
        </w:rPr>
        <w:t xml:space="preserve"> тис. грн,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будинки культури – 8784,4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інші заклад</w:t>
      </w:r>
      <w:r>
        <w:rPr>
          <w:rStyle w:val="682"/>
          <w:lang w:val="uk-UA"/>
        </w:rPr>
        <w:t xml:space="preserve">и культури (бухгалтерія) – 944,7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інші заходи в га</w:t>
      </w:r>
      <w:r>
        <w:rPr>
          <w:rStyle w:val="682"/>
          <w:lang w:val="uk-UA"/>
        </w:rPr>
        <w:t xml:space="preserve">лузі культури і мистецтва</w:t>
      </w:r>
      <w:r>
        <w:rPr>
          <w:rStyle w:val="682"/>
          <w:lang w:val="uk-UA"/>
        </w:rPr>
        <w:t xml:space="preserve"> – 131,2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проведення навчально-тренувальних зборів і змагань з олімпійських видів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спорту – 48</w:t>
      </w:r>
      <w:r>
        <w:rPr>
          <w:rStyle w:val="682"/>
          <w:lang w:val="uk-UA"/>
        </w:rPr>
        <w:t xml:space="preserve">,9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проведення навчально-тренувальних зборів і змагань з неолімпійських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видів спорту – 33,4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навчально-тре</w:t>
      </w:r>
      <w:r>
        <w:rPr>
          <w:rStyle w:val="682"/>
          <w:lang w:val="uk-UA"/>
        </w:rPr>
        <w:t xml:space="preserve">нувальна робота (ДЮСШ</w:t>
      </w:r>
      <w:r>
        <w:rPr>
          <w:rStyle w:val="682"/>
          <w:lang w:val="uk-UA"/>
        </w:rPr>
        <w:t xml:space="preserve">) – 1 592,4</w:t>
      </w:r>
      <w:r>
        <w:rPr>
          <w:rStyle w:val="682"/>
          <w:lang w:val="uk-UA"/>
        </w:rPr>
        <w:t xml:space="preserve"> тис. грн</w:t>
      </w:r>
      <w:r>
        <w:rPr>
          <w:rStyle w:val="682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житлово-</w:t>
      </w:r>
      <w:r>
        <w:rPr>
          <w:rStyle w:val="682"/>
          <w:lang w:val="uk-UA"/>
        </w:rPr>
        <w:t xml:space="preserve">к</w:t>
      </w:r>
      <w:r>
        <w:rPr>
          <w:rStyle w:val="682"/>
          <w:lang w:val="uk-UA"/>
        </w:rPr>
        <w:t xml:space="preserve">омунальне господарство – 9 640,8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грн.,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 економічна діяльність – 2 199,9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,</w:t>
      </w:r>
      <w:r>
        <w:rPr>
          <w:lang w:val="uk-UA"/>
        </w:rPr>
        <w:br w:type="textWrapping" w:clear="all"/>
      </w:r>
      <w:r>
        <w:rPr>
          <w:rStyle w:val="682"/>
          <w:lang w:val="uk-UA"/>
        </w:rPr>
        <w:t xml:space="preserve">- інша діяльність – 5 634,2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</w:t>
      </w:r>
      <w:r>
        <w:rPr>
          <w:rStyle w:val="682"/>
          <w:lang w:val="uk-UA"/>
        </w:rPr>
        <w:t xml:space="preserve"> (в т.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ч. мі</w:t>
      </w:r>
      <w:r>
        <w:rPr>
          <w:rStyle w:val="682"/>
          <w:lang w:val="uk-UA"/>
        </w:rPr>
        <w:t xml:space="preserve">сцева пожежна охорона – 2 869,7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тис.</w:t>
      </w:r>
      <w:r>
        <w:rPr>
          <w:rStyle w:val="682"/>
          <w:lang w:val="uk-UA"/>
        </w:rPr>
        <w:t xml:space="preserve"> грн</w:t>
      </w:r>
      <w:r>
        <w:rPr>
          <w:rStyle w:val="682"/>
          <w:lang w:val="uk-UA"/>
        </w:rPr>
        <w:t xml:space="preserve">),</w:t>
      </w:r>
      <w:r>
        <w:rPr>
          <w:color w:val="000000"/>
          <w:sz w:val="28"/>
          <w:szCs w:val="28"/>
          <w:lang w:val="uk-UA"/>
        </w:rPr>
        <w:br w:type="textWrapping" w:clear="all"/>
      </w:r>
      <w:r>
        <w:rPr>
          <w:rStyle w:val="682"/>
          <w:lang w:val="uk-UA"/>
        </w:rPr>
        <w:t xml:space="preserve">-</w:t>
      </w:r>
      <w:r>
        <w:rPr>
          <w:rStyle w:val="682"/>
          <w:lang w:val="uk-UA"/>
        </w:rPr>
        <w:t xml:space="preserve"> міжбюджетні тра</w:t>
      </w:r>
      <w:r>
        <w:rPr>
          <w:rStyle w:val="682"/>
          <w:lang w:val="uk-UA"/>
        </w:rPr>
        <w:t xml:space="preserve">нсферти – 4 700,7</w:t>
      </w:r>
      <w:r>
        <w:rPr>
          <w:rStyle w:val="682"/>
          <w:lang w:val="uk-UA"/>
        </w:rPr>
        <w:t xml:space="preserve"> тис.</w:t>
      </w:r>
      <w:r>
        <w:rPr>
          <w:rStyle w:val="682"/>
          <w:lang w:val="uk-UA"/>
        </w:rPr>
        <w:t xml:space="preserve"> </w:t>
      </w:r>
      <w:r>
        <w:rPr>
          <w:rStyle w:val="682"/>
          <w:lang w:val="uk-UA"/>
        </w:rPr>
        <w:t xml:space="preserve">грн.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69"/>
        <w:pBdr/>
        <w:tabs>
          <w:tab w:val="left" w:leader="none" w:pos="567"/>
        </w:tabs>
        <w:spacing w:after="0"/>
        <w:ind w:right="-5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Підсумки виконання дохідної частини спеціа</w:t>
      </w:r>
      <w:r>
        <w:rPr>
          <w:sz w:val="28"/>
          <w:szCs w:val="28"/>
          <w:lang w:val="uk-UA"/>
        </w:rPr>
        <w:t xml:space="preserve">льного фонду бюджету Менської ТГ за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9 місяців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202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 xml:space="preserve">оку</w:t>
      </w:r>
      <w:r>
        <w:rPr>
          <w:sz w:val="28"/>
          <w:szCs w:val="28"/>
          <w:lang w:val="uk-UA"/>
        </w:rPr>
        <w:t xml:space="preserve"> (без урахування трансфертів) свідчать про те, що </w:t>
      </w:r>
      <w:r>
        <w:rPr>
          <w:sz w:val="28"/>
          <w:szCs w:val="28"/>
          <w:lang w:val="uk-UA"/>
        </w:rPr>
        <w:t xml:space="preserve">надходження виконано в сумі </w:t>
      </w:r>
      <w:r>
        <w:rPr>
          <w:sz w:val="28"/>
          <w:szCs w:val="28"/>
          <w:lang w:val="uk-UA"/>
        </w:rPr>
        <w:t xml:space="preserve">14 822,6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Надходже</w:t>
      </w:r>
      <w:r>
        <w:rPr>
          <w:sz w:val="28"/>
          <w:szCs w:val="28"/>
          <w:lang w:val="uk-UA"/>
        </w:rPr>
        <w:t xml:space="preserve">ння субвенці</w:t>
      </w:r>
      <w:r>
        <w:rPr>
          <w:sz w:val="28"/>
          <w:szCs w:val="28"/>
          <w:lang w:val="uk-UA"/>
        </w:rPr>
        <w:t xml:space="preserve">й складають</w:t>
      </w:r>
      <w:r>
        <w:rPr>
          <w:sz w:val="28"/>
          <w:szCs w:val="28"/>
          <w:lang w:val="uk-UA"/>
        </w:rPr>
        <w:t xml:space="preserve"> – 6 907,6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в тому числі: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освітня субвенція для створення сучасного освітнього простору (41033900) в сумі 4 224,6 тис. грн;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освітня субвенція в частині харчування учнів закладів загальної середньої освіти (41033900) в сумі </w:t>
      </w:r>
      <w:r>
        <w:rPr>
          <w:sz w:val="28"/>
          <w:szCs w:val="28"/>
          <w:lang w:val="uk-UA"/>
        </w:rPr>
        <w:t xml:space="preserve">1 704,8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субвенція на покращення гаря</w:t>
      </w:r>
      <w:r>
        <w:rPr>
          <w:sz w:val="28"/>
          <w:szCs w:val="28"/>
          <w:lang w:val="uk-UA"/>
        </w:rPr>
        <w:t xml:space="preserve">чого харчування (41037400)</w:t>
      </w:r>
      <w:r>
        <w:rPr>
          <w:sz w:val="28"/>
          <w:szCs w:val="28"/>
          <w:lang w:val="uk-UA"/>
        </w:rPr>
        <w:t xml:space="preserve"> в сумі 931,4 тис. грн;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на підтримку осіб з особливими освітніми потребами (41035400) в сумі 46,8 тис. грн.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Видаткова частина спеціального фонду бюджету виконана в сумі </w:t>
      </w:r>
      <w:r>
        <w:rPr>
          <w:sz w:val="28"/>
          <w:szCs w:val="28"/>
          <w:lang w:val="uk-UA"/>
        </w:rPr>
        <w:t xml:space="preserve">33 776,4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</w:p>
    <w:p>
      <w:pPr>
        <w:pStyle w:val="669"/>
        <w:pBdr/>
        <w:spacing w:after="0"/>
        <w:ind w:right="-57" w:firstLine="567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захищені статті в</w:t>
      </w:r>
      <w:r>
        <w:rPr>
          <w:sz w:val="28"/>
          <w:szCs w:val="28"/>
          <w:lang w:val="uk-UA"/>
        </w:rPr>
        <w:t xml:space="preserve">идатків </w:t>
      </w:r>
      <w:r>
        <w:rPr>
          <w:sz w:val="28"/>
          <w:szCs w:val="28"/>
          <w:lang w:val="uk-UA"/>
        </w:rPr>
        <w:t xml:space="preserve">спрямовано </w:t>
      </w:r>
      <w:r>
        <w:rPr>
          <w:sz w:val="28"/>
          <w:szCs w:val="28"/>
          <w:lang w:val="uk-UA"/>
        </w:rPr>
        <w:t xml:space="preserve">3 655,8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  <w:t xml:space="preserve">, а саме на: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оплату пр</w:t>
      </w:r>
      <w:r>
        <w:rPr>
          <w:sz w:val="28"/>
          <w:szCs w:val="28"/>
          <w:lang w:val="uk-UA"/>
        </w:rPr>
        <w:t xml:space="preserve">аці та нарахування на неї – </w:t>
      </w:r>
      <w:r>
        <w:rPr>
          <w:sz w:val="28"/>
          <w:szCs w:val="28"/>
          <w:lang w:val="uk-UA"/>
        </w:rPr>
        <w:t xml:space="preserve">378,0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придбання медикаментів – </w:t>
      </w:r>
      <w:r>
        <w:rPr>
          <w:sz w:val="28"/>
          <w:szCs w:val="28"/>
          <w:lang w:val="uk-UA"/>
        </w:rPr>
        <w:t xml:space="preserve">188,9</w:t>
      </w:r>
      <w:r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придба</w:t>
      </w:r>
      <w:r>
        <w:rPr>
          <w:sz w:val="28"/>
          <w:szCs w:val="28"/>
          <w:lang w:val="uk-UA"/>
        </w:rPr>
        <w:t xml:space="preserve">ння продуктів харчування – </w:t>
      </w:r>
      <w:r>
        <w:rPr>
          <w:sz w:val="28"/>
          <w:szCs w:val="28"/>
          <w:lang w:val="uk-UA"/>
        </w:rPr>
        <w:t xml:space="preserve">2 973,1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спожиті енер</w:t>
      </w:r>
      <w:r>
        <w:rPr>
          <w:sz w:val="28"/>
          <w:szCs w:val="28"/>
          <w:lang w:val="uk-UA"/>
        </w:rPr>
        <w:t xml:space="preserve">гоносії – </w:t>
      </w:r>
      <w:r>
        <w:rPr>
          <w:sz w:val="28"/>
          <w:szCs w:val="28"/>
          <w:lang w:val="uk-UA"/>
        </w:rPr>
        <w:t xml:space="preserve">115,8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Капітальні трансферти підприємствам передані в сумі 3096,8 тис. грн ( в тому числі на медобладнання 2966,9 тис. грн).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Передано субвенції з місцевого бюджету державному бюджету в сумі 344,0 тис. грн, в тому числі на ЗСУ в сумі 294,0 тис. грн;</w:t>
      </w:r>
      <w:r>
        <w:t xml:space="preserve"> </w:t>
      </w:r>
      <w:r>
        <w:rPr>
          <w:sz w:val="28"/>
          <w:szCs w:val="28"/>
          <w:lang w:val="uk-UA"/>
        </w:rPr>
        <w:t xml:space="preserve">на нагрудні камери та комп’ютерну техніку для ІТТ №4 Мена в сумі 50,0 тис. грн.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Передано капітальні трансферти населенню за рахунок відповідної субвенції для придбання житла в сумі 2 729,8 тис. грн.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звітного періоду </w:t>
      </w:r>
      <w:r>
        <w:rPr>
          <w:sz w:val="28"/>
          <w:szCs w:val="28"/>
          <w:lang w:val="uk-UA"/>
        </w:rPr>
        <w:t xml:space="preserve">уточнено</w:t>
      </w:r>
      <w:r>
        <w:rPr>
          <w:sz w:val="28"/>
          <w:szCs w:val="28"/>
          <w:lang w:val="uk-UA"/>
        </w:rPr>
        <w:t xml:space="preserve"> залишок коштів</w:t>
      </w:r>
      <w:r>
        <w:rPr>
          <w:sz w:val="28"/>
          <w:szCs w:val="28"/>
          <w:lang w:val="uk-UA"/>
        </w:rPr>
        <w:t xml:space="preserve">, що був на рахунка</w:t>
      </w:r>
      <w:r>
        <w:rPr>
          <w:sz w:val="28"/>
          <w:szCs w:val="28"/>
          <w:lang w:val="uk-UA"/>
        </w:rPr>
        <w:t xml:space="preserve">х </w:t>
      </w:r>
      <w:r>
        <w:rPr>
          <w:sz w:val="28"/>
          <w:szCs w:val="28"/>
          <w:lang w:val="uk-UA"/>
        </w:rPr>
        <w:t xml:space="preserve">загального фонду в сумі 12 638,5</w:t>
      </w:r>
      <w:r>
        <w:rPr>
          <w:sz w:val="28"/>
          <w:szCs w:val="28"/>
          <w:lang w:val="uk-UA"/>
        </w:rPr>
        <w:t xml:space="preserve">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 (власні надходження)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</w:t>
      </w:r>
      <w:r>
        <w:rPr>
          <w:sz w:val="28"/>
          <w:szCs w:val="28"/>
          <w:lang w:val="uk-UA"/>
        </w:rPr>
        <w:t xml:space="preserve">вітного періоду уточнено залишки</w:t>
      </w:r>
      <w:r>
        <w:rPr>
          <w:sz w:val="28"/>
          <w:szCs w:val="28"/>
          <w:lang w:val="uk-UA"/>
        </w:rPr>
        <w:t xml:space="preserve"> коштів</w:t>
      </w:r>
      <w:r>
        <w:rPr>
          <w:sz w:val="28"/>
          <w:szCs w:val="28"/>
          <w:lang w:val="uk-UA"/>
        </w:rPr>
        <w:t xml:space="preserve"> субвенцій, що були</w:t>
      </w:r>
      <w:r>
        <w:rPr>
          <w:sz w:val="28"/>
          <w:szCs w:val="28"/>
          <w:lang w:val="uk-UA"/>
        </w:rPr>
        <w:t xml:space="preserve"> на рахунках спеціального фонду</w:t>
      </w:r>
      <w:r>
        <w:rPr>
          <w:sz w:val="28"/>
          <w:szCs w:val="28"/>
          <w:lang w:val="uk-UA"/>
        </w:rPr>
        <w:t xml:space="preserve"> в сумі 9411,1</w:t>
      </w:r>
      <w:r>
        <w:rPr>
          <w:sz w:val="28"/>
          <w:szCs w:val="28"/>
          <w:lang w:val="uk-UA"/>
        </w:rPr>
        <w:t xml:space="preserve"> тис. грн</w:t>
      </w:r>
      <w:r>
        <w:rPr>
          <w:sz w:val="28"/>
          <w:szCs w:val="28"/>
          <w:lang w:val="uk-UA"/>
        </w:rPr>
        <w:t xml:space="preserve">, а саме: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субвенція на покращення гарячого харчування (41037400) – 331,7 тис. грн;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за рахунок залишку освітньої субвенції (Захист України) (41051100) – 821,4 тис. грн;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на</w:t>
      </w:r>
      <w:r>
        <w:rPr>
          <w:sz w:val="28"/>
          <w:szCs w:val="28"/>
          <w:lang w:val="uk-UA"/>
        </w:rPr>
        <w:t xml:space="preserve"> відновлення (41059200) – 6363,5</w:t>
      </w:r>
      <w:r>
        <w:rPr>
          <w:sz w:val="28"/>
          <w:szCs w:val="28"/>
          <w:lang w:val="uk-UA"/>
        </w:rPr>
        <w:t xml:space="preserve"> тис. грн;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субвенція на харчування (41033300) – 1894,5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Протягом звітного періоду уточнено та розподілено перевиконання коштів </w:t>
      </w:r>
      <w:r>
        <w:rPr>
          <w:sz w:val="28"/>
          <w:szCs w:val="28"/>
          <w:lang w:val="uk-UA"/>
        </w:rPr>
        <w:t xml:space="preserve">загального фонду в сумі 33 632,0</w:t>
      </w:r>
      <w:r>
        <w:rPr>
          <w:sz w:val="28"/>
          <w:szCs w:val="28"/>
          <w:lang w:val="uk-UA"/>
        </w:rPr>
        <w:t xml:space="preserve"> тис. грн.</w:t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Кошти резервного</w:t>
      </w:r>
      <w:r>
        <w:rPr>
          <w:sz w:val="28"/>
          <w:szCs w:val="28"/>
          <w:lang w:val="uk-UA"/>
        </w:rPr>
        <w:t xml:space="preserve"> фонду протягом </w:t>
      </w:r>
      <w:r>
        <w:rPr>
          <w:sz w:val="28"/>
          <w:szCs w:val="28"/>
          <w:lang w:val="uk-UA"/>
        </w:rPr>
        <w:t xml:space="preserve">звітного періоду</w:t>
      </w:r>
      <w:r>
        <w:rPr>
          <w:sz w:val="28"/>
          <w:szCs w:val="28"/>
          <w:lang w:val="uk-UA"/>
        </w:rPr>
        <w:t xml:space="preserve"> не використовувались.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62"/>
        <w:pBdr/>
        <w:spacing/>
        <w:ind w:right="-57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71"/>
        <w:pBdr/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</w:t>
      </w:r>
      <w:r>
        <w:rPr>
          <w:sz w:val="28"/>
          <w:szCs w:val="28"/>
          <w:lang w:val="uk-UA"/>
        </w:rPr>
        <w:t xml:space="preserve">ачальник</w:t>
      </w:r>
      <w:r>
        <w:rPr>
          <w:sz w:val="28"/>
          <w:szCs w:val="28"/>
          <w:lang w:val="uk-UA"/>
        </w:rPr>
        <w:t xml:space="preserve"> Фінансового управління                                                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71"/>
        <w:pBdr/>
        <w:spacing w:after="0" w:afterAutospacing="0" w:before="0" w:beforeAutospacing="0"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                                                   </w:t>
      </w:r>
      <w:r>
        <w:rPr>
          <w:sz w:val="28"/>
          <w:szCs w:val="28"/>
          <w:lang w:val="uk-UA"/>
        </w:rPr>
        <w:t xml:space="preserve">Алла НЕРОСЛИК</w:t>
      </w:r>
      <w:r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851" w:right="567" w:bottom="1134" w:left="1701" w:header="709" w:footer="709" w:gutter="0"/>
      <w:pgNumType w:start="1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ntiqua">
    <w:panose1 w:val="020704090202050204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6"/>
      <w:pBdr/>
      <w:tabs>
        <w:tab w:val="center" w:leader="none" w:pos="4819"/>
        <w:tab w:val="left" w:leader="none" w:pos="6660"/>
      </w:tabs>
      <w:spacing/>
      <w:ind/>
      <w:rPr>
        <w:lang w:val="uk-UA"/>
      </w:rPr>
    </w:pPr>
    <w:r>
      <w:tab/>
      <w:tab/>
    </w: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>
      <w:tab/>
    </w:r>
    <w:r>
      <w:rPr>
        <w:sz w:val="24"/>
        <w:szCs w:val="24"/>
        <w:lang w:val="uk-UA"/>
      </w:rPr>
      <w:t xml:space="preserve">продовження додатка</w:t>
    </w:r>
    <w:r>
      <w:rPr>
        <w:lang w:val="uk-UA"/>
      </w:rPr>
    </w:r>
    <w:r>
      <w:rPr>
        <w:lang w:val="uk-UA"/>
      </w:rPr>
    </w:r>
  </w:p>
  <w:p>
    <w:pPr>
      <w:pStyle w:val="676"/>
      <w:pBdr/>
      <w:spacing/>
      <w:ind/>
      <w:rPr>
        <w:lang w:val="uk-UA"/>
      </w:rPr>
    </w:pPr>
    <w:r>
      <w:rPr>
        <w:lang w:val="uk-UA"/>
      </w:rPr>
    </w:r>
    <w:r>
      <w:rPr>
        <w:lang w:val="uk-UA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86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82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02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22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42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62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82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02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22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50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862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82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02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22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742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462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82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02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22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502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2"/>
    <w:next w:val="66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2"/>
    <w:next w:val="66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2"/>
    <w:next w:val="66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2"/>
    <w:next w:val="66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2"/>
    <w:next w:val="66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2"/>
    <w:next w:val="66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2"/>
    <w:next w:val="66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2"/>
    <w:next w:val="66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2"/>
    <w:next w:val="66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2"/>
    <w:next w:val="66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2"/>
    <w:next w:val="66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2"/>
    <w:next w:val="66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2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2"/>
    <w:next w:val="66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2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62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62"/>
    <w:next w:val="66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62"/>
    <w:next w:val="662"/>
    <w:uiPriority w:val="99"/>
    <w:unhideWhenUsed/>
    <w:pPr>
      <w:pBdr/>
      <w:spacing w:after="0" w:afterAutospacing="0"/>
      <w:ind/>
    </w:pPr>
  </w:style>
  <w:style w:type="paragraph" w:styleId="662" w:default="1">
    <w:name w:val="Normal"/>
    <w:next w:val="662"/>
    <w:link w:val="662"/>
    <w:qFormat/>
    <w:pPr>
      <w:pBdr/>
      <w:spacing/>
      <w:ind/>
    </w:pPr>
    <w:rPr>
      <w:lang w:val="ru-RU" w:eastAsia="ru-RU" w:bidi="ar-SA"/>
    </w:rPr>
  </w:style>
  <w:style w:type="character" w:styleId="663">
    <w:name w:val="Основной шрифт абзаца"/>
    <w:next w:val="663"/>
    <w:link w:val="662"/>
    <w:semiHidden/>
    <w:pPr>
      <w:pBdr/>
      <w:spacing/>
      <w:ind/>
    </w:pPr>
  </w:style>
  <w:style w:type="table" w:styleId="664">
    <w:name w:val="Обычная таблица"/>
    <w:next w:val="664"/>
    <w:link w:val="66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5">
    <w:name w:val="Нет списка"/>
    <w:next w:val="665"/>
    <w:link w:val="662"/>
    <w:semiHidden/>
    <w:pPr>
      <w:pBdr/>
      <w:spacing/>
      <w:ind/>
    </w:pPr>
  </w:style>
  <w:style w:type="character" w:styleId="666">
    <w:name w:val="Заголовок Знак,Номер таблиці Знак"/>
    <w:next w:val="666"/>
    <w:link w:val="667"/>
    <w:pPr>
      <w:pBdr/>
      <w:spacing/>
      <w:ind/>
    </w:pPr>
    <w:rPr>
      <w:sz w:val="28"/>
      <w:szCs w:val="28"/>
      <w:lang w:val="uk-UA"/>
    </w:rPr>
  </w:style>
  <w:style w:type="paragraph" w:styleId="667">
    <w:name w:val="Заголовок,Номер таблиці"/>
    <w:basedOn w:val="662"/>
    <w:next w:val="667"/>
    <w:link w:val="666"/>
    <w:qFormat/>
    <w:pPr>
      <w:pBdr/>
      <w:spacing/>
      <w:ind/>
      <w:jc w:val="center"/>
    </w:pPr>
    <w:rPr>
      <w:sz w:val="28"/>
      <w:szCs w:val="28"/>
      <w:lang w:val="uk-UA"/>
    </w:rPr>
  </w:style>
  <w:style w:type="character" w:styleId="668">
    <w:name w:val="Название Знак1"/>
    <w:next w:val="668"/>
    <w:link w:val="667"/>
    <w:pPr>
      <w:pBdr/>
      <w:spacing/>
      <w:ind/>
    </w:pPr>
    <w:rPr>
      <w:rFonts w:ascii="Cambria" w:hAnsi="Cambria" w:eastAsia="Times New Roman" w:cs="Times New Roman"/>
      <w:b/>
      <w:bCs/>
      <w:sz w:val="32"/>
      <w:szCs w:val="32"/>
    </w:rPr>
  </w:style>
  <w:style w:type="paragraph" w:styleId="669">
    <w:name w:val="Основной текст с отступом"/>
    <w:basedOn w:val="662"/>
    <w:next w:val="669"/>
    <w:link w:val="670"/>
    <w:unhideWhenUsed/>
    <w:pPr>
      <w:pBdr/>
      <w:spacing w:after="120"/>
      <w:ind w:left="283"/>
    </w:pPr>
    <w:rPr>
      <w:sz w:val="24"/>
      <w:szCs w:val="24"/>
    </w:rPr>
  </w:style>
  <w:style w:type="character" w:styleId="670">
    <w:name w:val="Основной текст с отступом Знак"/>
    <w:next w:val="670"/>
    <w:link w:val="669"/>
    <w:pPr>
      <w:pBdr/>
      <w:spacing/>
      <w:ind/>
    </w:pPr>
    <w:rPr>
      <w:sz w:val="24"/>
      <w:szCs w:val="24"/>
    </w:rPr>
  </w:style>
  <w:style w:type="paragraph" w:styleId="671">
    <w:name w:val="Обычный (Интернет)"/>
    <w:basedOn w:val="662"/>
    <w:next w:val="671"/>
    <w:link w:val="662"/>
    <w:uiPriority w:val="99"/>
    <w:unhideWhenUsed/>
    <w:pPr>
      <w:pBdr/>
      <w:spacing w:after="100" w:afterAutospacing="1" w:before="100" w:beforeAutospacing="1"/>
      <w:ind/>
    </w:pPr>
    <w:rPr>
      <w:sz w:val="24"/>
      <w:szCs w:val="24"/>
    </w:rPr>
  </w:style>
  <w:style w:type="character" w:styleId="672">
    <w:name w:val="Основной текст (2)_"/>
    <w:next w:val="672"/>
    <w:link w:val="673"/>
    <w:pPr>
      <w:pBdr/>
      <w:spacing/>
      <w:ind/>
    </w:pPr>
    <w:rPr>
      <w:sz w:val="17"/>
      <w:szCs w:val="17"/>
      <w:shd w:val="clear" w:color="auto" w:fill="ffffff"/>
    </w:rPr>
  </w:style>
  <w:style w:type="paragraph" w:styleId="673">
    <w:name w:val="Основной текст (2)"/>
    <w:basedOn w:val="662"/>
    <w:next w:val="673"/>
    <w:link w:val="672"/>
    <w:pPr>
      <w:widowControl w:val="false"/>
      <w:pBdr/>
      <w:shd w:val="clear" w:color="auto" w:fill="ffffff"/>
      <w:spacing w:line="168" w:lineRule="exact"/>
      <w:ind/>
      <w:jc w:val="both"/>
    </w:pPr>
    <w:rPr>
      <w:sz w:val="17"/>
      <w:szCs w:val="17"/>
    </w:rPr>
  </w:style>
  <w:style w:type="paragraph" w:styleId="674">
    <w:name w:val="Текст выноски"/>
    <w:basedOn w:val="662"/>
    <w:next w:val="674"/>
    <w:link w:val="675"/>
    <w:pPr>
      <w:pBdr/>
      <w:spacing/>
      <w:ind/>
    </w:pPr>
    <w:rPr>
      <w:rFonts w:ascii="Tahoma" w:hAnsi="Tahoma" w:cs="Tahoma"/>
      <w:sz w:val="16"/>
      <w:szCs w:val="16"/>
    </w:rPr>
  </w:style>
  <w:style w:type="character" w:styleId="675">
    <w:name w:val="Текст выноски Знак"/>
    <w:next w:val="675"/>
    <w:link w:val="674"/>
    <w:pPr>
      <w:pBdr/>
      <w:spacing/>
      <w:ind/>
    </w:pPr>
    <w:rPr>
      <w:rFonts w:ascii="Tahoma" w:hAnsi="Tahoma" w:cs="Tahoma"/>
      <w:sz w:val="16"/>
      <w:szCs w:val="16"/>
    </w:rPr>
  </w:style>
  <w:style w:type="paragraph" w:styleId="676">
    <w:name w:val="Верхний колонтитул"/>
    <w:basedOn w:val="662"/>
    <w:next w:val="676"/>
    <w:link w:val="677"/>
    <w:uiPriority w:val="9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677">
    <w:name w:val="Верхний колонтитул Знак"/>
    <w:basedOn w:val="663"/>
    <w:next w:val="677"/>
    <w:link w:val="676"/>
    <w:uiPriority w:val="99"/>
    <w:pPr>
      <w:pBdr/>
      <w:spacing/>
      <w:ind/>
    </w:pPr>
  </w:style>
  <w:style w:type="paragraph" w:styleId="678">
    <w:name w:val="Нижний колонтитул"/>
    <w:basedOn w:val="662"/>
    <w:next w:val="678"/>
    <w:link w:val="67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679">
    <w:name w:val="Нижний колонтитул Знак"/>
    <w:basedOn w:val="663"/>
    <w:next w:val="679"/>
    <w:link w:val="678"/>
    <w:pPr>
      <w:pBdr/>
      <w:spacing/>
      <w:ind/>
    </w:pPr>
  </w:style>
  <w:style w:type="paragraph" w:styleId="680">
    <w:name w:val="Назва документа"/>
    <w:basedOn w:val="662"/>
    <w:next w:val="662"/>
    <w:link w:val="662"/>
    <w:pPr>
      <w:keepNext w:val="true"/>
      <w:keepLines w:val="true"/>
      <w:pBdr/>
      <w:spacing w:after="240" w:before="240"/>
      <w:ind/>
      <w:jc w:val="center"/>
    </w:pPr>
    <w:rPr>
      <w:rFonts w:ascii="Antiqua" w:hAnsi="Antiqua"/>
      <w:b/>
      <w:sz w:val="26"/>
      <w:lang w:val="uk-UA"/>
    </w:rPr>
  </w:style>
  <w:style w:type="paragraph" w:styleId="681">
    <w:name w:val="Shapka Documentu"/>
    <w:basedOn w:val="662"/>
    <w:next w:val="681"/>
    <w:link w:val="662"/>
    <w:pPr>
      <w:keepNext w:val="true"/>
      <w:keepLines w:val="true"/>
      <w:pBdr/>
      <w:spacing w:after="240"/>
      <w:ind w:left="3969"/>
      <w:jc w:val="center"/>
    </w:pPr>
    <w:rPr>
      <w:rFonts w:ascii="Antiqua" w:hAnsi="Antiqua"/>
      <w:sz w:val="26"/>
      <w:lang w:val="uk-UA"/>
    </w:rPr>
  </w:style>
  <w:style w:type="character" w:styleId="682">
    <w:name w:val="fontstyle01"/>
    <w:next w:val="682"/>
    <w:link w:val="662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MoBIL GROUP</Company>
  <DocSecurity>0</DocSecurity>
  <HyperlinksChanged>false</HyperlinksChanged>
  <ScaleCrop>false</ScaleCrop>
  <SharedDoc>false</SharedDoc>
  <Template>Normal.dot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Нерослик Алла Петрівна</cp:lastModifiedBy>
  <cp:revision>265</cp:revision>
  <dcterms:created xsi:type="dcterms:W3CDTF">2025-01-16T07:29:00Z</dcterms:created>
  <dcterms:modified xsi:type="dcterms:W3CDTF">2025-11-19T14:27:37Z</dcterms:modified>
  <cp:version>1048576</cp:version>
</cp:coreProperties>
</file>