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before="0" w:beforeAutospacing="0"/>
        <w:ind w:left="5812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sz w:val="28"/>
        </w:rPr>
        <w:t xml:space="preserve">Додаток </w:t>
      </w: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</w:p>
    <w:p>
      <w:pPr>
        <w:pBdr/>
        <w:spacing w:after="0" w:afterAutospacing="0" w:before="0" w:beforeAutospacing="0"/>
        <w:ind w:left="5812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до рішення </w:t>
      </w:r>
      <w:r>
        <w:rPr>
          <w:rFonts w:ascii="Times New Roman" w:hAnsi="Times New Roman"/>
          <w:sz w:val="28"/>
          <w:lang w:val="uk-UA"/>
        </w:rPr>
        <w:t xml:space="preserve">67</w:t>
      </w:r>
      <w:r>
        <w:rPr>
          <w:rFonts w:ascii="Times New Roman" w:hAnsi="Times New Roman"/>
          <w:sz w:val="28"/>
        </w:rPr>
        <w:t xml:space="preserve"> сесії Менської міської ради 8 скликання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9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05 листопада 2025</w:t>
      </w:r>
      <w:r>
        <w:rPr>
          <w:sz w:val="28"/>
          <w:lang w:val="uk-UA"/>
        </w:rPr>
        <w:t xml:space="preserve"> року № 654</w:t>
      </w:r>
      <w:r>
        <w:rPr>
          <w:lang w:val="uk-UA"/>
        </w:rPr>
      </w:r>
      <w:r>
        <w:rPr>
          <w:lang w:val="uk-UA"/>
        </w:rPr>
      </w:r>
    </w:p>
    <w:p>
      <w:pPr>
        <w:pStyle w:val="959"/>
        <w:pBdr/>
        <w:spacing w:after="0" w:afterAutospacing="0" w:before="0" w:beforeAutospacing="0"/>
        <w:ind w:firstLine="851"/>
        <w:rPr>
          <w:lang w:val="uk-UA"/>
        </w:rPr>
      </w:pPr>
      <w:r>
        <w:rPr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>
        <w:rPr>
          <w:lang w:val="uk-UA"/>
        </w:rPr>
      </w:r>
      <w:r>
        <w:rPr>
          <w:lang w:val="uk-UA"/>
        </w:rPr>
      </w:r>
    </w:p>
    <w:p>
      <w:pPr>
        <w:pBdr/>
        <w:spacing w:after="0" w:afterAutospacing="0" w:before="0" w:beforeAutospacing="0"/>
        <w:ind w:right="-1"/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 xml:space="preserve">ПРОГРАМА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</w:p>
    <w:p>
      <w:pPr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 xml:space="preserve">сприяння діяльності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державної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установи «Менська виправна колонія (№91)» в рамках Стратегії реформування пенітенціарної системи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 xml:space="preserve"> на 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 xml:space="preserve"> рік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uk-UA"/>
        </w:rPr>
      </w:r>
    </w:p>
    <w:p>
      <w:pPr>
        <w:pBdr/>
        <w:spacing w:after="0" w:afterAutospacing="0" w:before="0" w:beforeAutospacing="0"/>
        <w:ind w:firstLine="85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 w:right="-1" w:firstLine="85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r>
    </w:p>
    <w:p>
      <w:pPr>
        <w:pBdr/>
        <w:shd w:val="nil" w:color="auto"/>
        <w:spacing/>
        <w:ind/>
        <w:rPr>
          <w:rFonts w:ascii="Times New Roman" w:hAnsi="Times New Roman" w:eastAsia="Times New Roman"/>
          <w:sz w:val="24"/>
          <w:szCs w:val="24"/>
          <w:lang w:val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val="uk-UA"/>
        </w:rPr>
      </w:r>
      <w:r>
        <w:rPr>
          <w:rFonts w:ascii="Times New Roman" w:hAnsi="Times New Roman" w:eastAsia="Times New Roman"/>
          <w:sz w:val="24"/>
          <w:szCs w:val="24"/>
          <w:lang w:val="uk-UA"/>
        </w:rPr>
      </w:r>
    </w:p>
    <w:p>
      <w:pPr>
        <w:pBdr/>
        <w:spacing w:after="0" w:afterAutospacing="0" w:before="0" w:beforeAutospacing="0"/>
        <w:ind w:firstLine="851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 xml:space="preserve">Зміст</w:t>
      </w:r>
      <w:r>
        <w:rPr>
          <w:rFonts w:ascii="Times New Roman" w:hAnsi="Times New Roman" w:eastAsia="Times New Roman"/>
          <w:b/>
          <w:bCs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 w:firstLine="709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</w:p>
    <w:p>
      <w:pPr>
        <w:pBdr/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1. Паспорт програми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keepNext w:val="true"/>
        <w:pBdr/>
        <w:spacing w:after="0" w:afterAutospacing="0" w:before="0" w:beforeAutospacing="0"/>
        <w:ind/>
        <w:jc w:val="both"/>
        <w:outlineLvl w:val="1"/>
        <w:rPr>
          <w:rFonts w:ascii="Times New Roman" w:hAnsi="Times New Roman" w:eastAsia="Times New Roman" w:cs="Times New Roman"/>
          <w:bCs/>
          <w:color w:val="000000"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4"/>
          <w:lang w:val="uk-UA"/>
        </w:rPr>
        <w:t xml:space="preserve">2. Визначення проблем, на розв’язання яких спрямована програма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4"/>
          <w:lang w:val="uk-UA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4"/>
          <w:lang w:val="uk-UA"/>
        </w:rPr>
      </w:r>
    </w:p>
    <w:p>
      <w:pPr>
        <w:pBdr/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 xml:space="preserve">3. Мета програми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</w:r>
    </w:p>
    <w:p>
      <w:pPr>
        <w:widowControl w:val="false"/>
        <w:pBdr/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4. Шляхи і засоби розв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язання проблеми, обсяги та джерела фінансування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5. Ресурсне забезпечення програми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eastAsia="Times New Roman" w:cs="Times New Roman"/>
          <w:bCs/>
          <w:sz w:val="28"/>
          <w:szCs w:val="28"/>
          <w:lang w:val="uk-UA"/>
        </w:rPr>
        <w:t xml:space="preserve">сприяння діяльності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державної установи «Менська виправна колонія (№91)» Міністерства юстиції України Державної кримінально – в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иконавчої служби України на 2025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рік.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6. Перелік завдань, заходів програми та результативні показники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7. Напрямки діяльності та заходи Програми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8. Очікувані результати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9. Прогноз результатів виконання програми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10. Механізм управління та здійснення контролю за виконанням програми.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8205"/>
        </w:tabs>
        <w:spacing w:after="0" w:afterAutospacing="0" w:before="0" w:beforeAutospacing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</w:p>
    <w:p>
      <w:pPr>
        <w:pBdr/>
        <w:shd w:val="nil" w:color="auto"/>
        <w:spacing/>
        <w:ind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</w:p>
    <w:p>
      <w:pPr>
        <w:pBdr/>
        <w:shd w:val="clear" w:color="auto" w:fill="ffffff"/>
        <w:spacing w:after="0" w:afterAutospacing="0" w:before="0" w:beforeAutospacing="0"/>
        <w:ind w:firstLine="851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</w:p>
    <w:p>
      <w:pPr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 xml:space="preserve">1. ПАСПОРТ ПРОГРАМИ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tbl>
      <w:tblPr>
        <w:tblW w:w="9781" w:type="dxa"/>
        <w:tblInd w:w="108" w:type="dxa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5"/>
        <w:gridCol w:w="3402"/>
        <w:gridCol w:w="5954"/>
      </w:tblGrid>
      <w:tr>
        <w:trPr>
          <w:trHeight w:val="7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/>
          </w:tcPr>
          <w:p>
            <w:pPr>
              <w:numPr>
                <w:ilvl w:val="0"/>
                <w:numId w:val="27"/>
              </w:numPr>
              <w:pBdr/>
              <w:spacing w:after="0" w:afterAutospacing="0" w:before="0" w:beforeAutospacing="0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 w:firstLine="17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Назва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4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  <w:t xml:space="preserve">Програма сприяння діяльності 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ержавної установи «Менська виправна колонія (№91)» в рамках Стратегії реформування пенітенціарної системи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  <w:t xml:space="preserve"> на 2025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7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/>
          </w:tcPr>
          <w:p>
            <w:pPr>
              <w:numPr>
                <w:ilvl w:val="0"/>
                <w:numId w:val="27"/>
              </w:numPr>
              <w:pBdr/>
              <w:spacing w:after="0" w:afterAutospacing="0" w:before="0" w:beforeAutospacing="0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Дата, номер і назва документів використаних при розробці Програми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4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Закон України «Про місцеве самоврядування в Україні» від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21.05.1997 №2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80/97-ВР,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  <w:t xml:space="preserve">Кримінально-виконавчого кодексу України 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Закону України "Про Державну кримінально-виконавчу службу України" від 23 червня 2005 року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№ 2713-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IV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Бюджетний кодекс України від 08.07.2010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№ 2456-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Розпорядження Кабінету Міністрів України від 16 грудня 2022 року № 1153-р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 схвалення Стратегії реформування пенітенціарної системи на період до 2026 року та затвердження операційного плану її реалізації у 2022-2024 роках»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7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/>
          </w:tcPr>
          <w:p>
            <w:pPr>
              <w:numPr>
                <w:ilvl w:val="0"/>
                <w:numId w:val="27"/>
              </w:numPr>
              <w:pBdr/>
              <w:spacing w:after="0" w:afterAutospacing="0" w:before="0" w:beforeAutospacing="0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Ініціатор розроблення Прог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рами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4" w:type="dxa"/>
            <w:textDirection w:val="lrTb"/>
            <w:noWrap/>
          </w:tcPr>
          <w:p>
            <w:pPr>
              <w:pBdr/>
              <w:shd w:val="clear" w:color="auto" w:fill="ffffff"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Державна установа «Менська виправна колонія (№91)»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/>
          </w:tcPr>
          <w:p>
            <w:pPr>
              <w:numPr>
                <w:ilvl w:val="0"/>
                <w:numId w:val="27"/>
              </w:numPr>
              <w:pBdr/>
              <w:spacing w:after="0" w:afterAutospacing="0" w:before="0" w:beforeAutospacing="0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 w:firstLine="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Розробник Програми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4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/>
          </w:tcPr>
          <w:p>
            <w:pPr>
              <w:numPr>
                <w:ilvl w:val="0"/>
                <w:numId w:val="27"/>
              </w:numPr>
              <w:pBdr/>
              <w:spacing w:after="0" w:afterAutospacing="0" w:before="0" w:beforeAutospacing="0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 w:firstLine="3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Співрозробник Програми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4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Державна установа «Менська виправна колонія (№91)»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/>
          </w:tcPr>
          <w:p>
            <w:pPr>
              <w:numPr>
                <w:ilvl w:val="0"/>
                <w:numId w:val="27"/>
              </w:numPr>
              <w:pBdr/>
              <w:spacing w:after="0" w:afterAutospacing="0" w:before="0" w:beforeAutospacing="0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 w:firstLine="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Відповідальні виконавці Програми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4" w:type="dxa"/>
            <w:textDirection w:val="lrTb"/>
            <w:noWrap/>
          </w:tcPr>
          <w:p>
            <w:pPr>
              <w:pBdr/>
              <w:shd w:val="clear" w:color="auto" w:fill="ffffff"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Державна установа «Менська виправна колонія (№91)»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/>
          </w:tcPr>
          <w:p>
            <w:pPr>
              <w:numPr>
                <w:ilvl w:val="0"/>
                <w:numId w:val="27"/>
              </w:numPr>
              <w:pBdr/>
              <w:spacing w:after="0" w:afterAutospacing="0" w:before="0" w:beforeAutospacing="0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 w:firstLine="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Учасники Програми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4" w:type="dxa"/>
            <w:textDirection w:val="lrTb"/>
            <w:noWrap/>
          </w:tcPr>
          <w:p>
            <w:pPr>
              <w:pBdr/>
              <w:shd w:val="clear" w:color="auto" w:fill="ffffff"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Державна установа «Менська виправна колонія (№91)», Менська міська рада, Менська міська рада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/>
          </w:tcPr>
          <w:p>
            <w:pPr>
              <w:numPr>
                <w:ilvl w:val="0"/>
                <w:numId w:val="27"/>
              </w:numPr>
              <w:pBdr/>
              <w:spacing w:after="0" w:afterAutospacing="0" w:before="0" w:beforeAutospacing="0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 w:firstLine="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Термін реалізації Програми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4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/>
          </w:tcPr>
          <w:p>
            <w:pPr>
              <w:numPr>
                <w:ilvl w:val="0"/>
                <w:numId w:val="27"/>
              </w:numPr>
              <w:pBdr/>
              <w:spacing w:after="0" w:afterAutospacing="0" w:before="0" w:beforeAutospacing="0"/>
              <w:ind w:lef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 w:firstLine="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Строк виконання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4" w:type="dxa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 w:afterAutospacing="0" w:before="0" w:beforeAutospacing="0"/>
        <w:ind w:firstLine="851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</w:p>
    <w:p>
      <w:pPr>
        <w:pBdr/>
        <w:shd w:val="nil" w:color="auto"/>
        <w:spacing w:after="0" w:afterAutospacing="0" w:before="0" w:beforeAutospacing="0"/>
        <w:ind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val="uk-UA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r>
    </w:p>
    <w:p>
      <w:pPr>
        <w:keepNext w:val="true"/>
        <w:pBdr/>
        <w:spacing w:after="0" w:afterAutospacing="0" w:before="0" w:beforeAutospacing="0"/>
        <w:ind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val="uk-UA"/>
        </w:rPr>
        <w:t xml:space="preserve">2. Визначення проблем, на розв’язання яких спрямована програма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val="uk-UA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Courier New"/>
          <w:color w:val="000000"/>
          <w:sz w:val="28"/>
        </w:rPr>
      </w:pP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Дотримання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основних прав засуджених при виконаннi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кримiнальних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покарань є одним із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основних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завдань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демократичної, цивілізованої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держави.</w:t>
      </w:r>
      <w:r>
        <w:rPr>
          <w:rFonts w:ascii="Times New Roman" w:hAnsi="Times New Roman" w:eastAsia="Times New Roman" w:cs="Courier New"/>
          <w:color w:val="000000"/>
          <w:sz w:val="28"/>
        </w:rPr>
      </w:r>
      <w:r>
        <w:rPr>
          <w:rFonts w:ascii="Times New Roman" w:hAnsi="Times New Roman" w:eastAsia="Times New Roman" w:cs="Courier New"/>
          <w:color w:val="000000"/>
          <w:sz w:val="28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Courier New"/>
          <w:color w:val="000000"/>
          <w:sz w:val="28"/>
        </w:rPr>
      </w:pP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Протягом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останього часу Державн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ою кримінально - виконавчою службою України вжито комплекс орган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i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зац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i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йних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i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практичних заход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i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в, спрямованих на виконання вимог законодавства щодо забезпечення належних умов утримання в установах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Державної крим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i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нально-виконавчої служби засуджених та ос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i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б, взя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тих п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i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д варту.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Проведена робота дозволила досягти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певних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позитивних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результатiв.</w:t>
      </w:r>
      <w:r>
        <w:rPr>
          <w:rFonts w:ascii="Times New Roman" w:hAnsi="Times New Roman" w:eastAsia="Times New Roman" w:cs="Courier New"/>
          <w:color w:val="000000"/>
          <w:sz w:val="28"/>
        </w:rPr>
      </w:r>
      <w:r>
        <w:rPr>
          <w:rFonts w:ascii="Times New Roman" w:hAnsi="Times New Roman" w:eastAsia="Times New Roman" w:cs="Courier New"/>
          <w:color w:val="000000"/>
          <w:sz w:val="28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Courier New"/>
          <w:color w:val="000000"/>
          <w:sz w:val="28"/>
        </w:rPr>
      </w:pP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Проте, наявний стан справ ще не повно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ю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мiрою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вiдповiдає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сучасним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вимогам у 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Державній кримінально – виконавчій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сферi. На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виявлення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недолiкiв у роботi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органiв i установ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виконання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покарань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в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казують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положення i висновки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доповiдей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Європейського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комiтету по запобiганню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тортурам та нелюдському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поводженню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чи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покаранню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або такому, що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принижує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гiднiсть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осіб взятих під варту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Уповноваженого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Верховної Ради України з прав людини, подання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Генеральної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прокуратури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Україн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и, де мiстяться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факти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окремих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вiдхилень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щодо умов тримання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засуджених та осiб, взятих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пiд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варту.</w:t>
      </w:r>
      <w:r>
        <w:rPr>
          <w:rFonts w:ascii="Times New Roman" w:hAnsi="Times New Roman" w:eastAsia="Times New Roman" w:cs="Courier New"/>
          <w:color w:val="000000"/>
          <w:sz w:val="28"/>
        </w:rPr>
      </w:r>
      <w:r>
        <w:rPr>
          <w:rFonts w:ascii="Times New Roman" w:hAnsi="Times New Roman" w:eastAsia="Times New Roman" w:cs="Courier New"/>
          <w:color w:val="000000"/>
          <w:sz w:val="28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Courier New" w:hAnsi="Courier New" w:eastAsia="Times New Roman" w:cs="Courier New"/>
          <w:color w:val="000000"/>
          <w:sz w:val="20"/>
        </w:rPr>
      </w:pP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Причин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ами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 та умов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ами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зазначеного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є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: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недостатнiй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рiвень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фiнансування i матерiально-технiчного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забезпечення, низька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ефективнiсть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власного</w:t>
      </w: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Courier New"/>
          <w:color w:val="000000"/>
          <w:sz w:val="28"/>
          <w:lang w:eastAsia="uk-UA"/>
        </w:rPr>
        <w:t xml:space="preserve">виробництва. </w:t>
      </w:r>
      <w:r>
        <w:rPr>
          <w:rFonts w:ascii="Courier New" w:hAnsi="Courier New" w:eastAsia="Times New Roman" w:cs="Courier New"/>
          <w:color w:val="000000"/>
          <w:sz w:val="20"/>
        </w:rPr>
      </w:r>
      <w:r>
        <w:rPr>
          <w:rFonts w:ascii="Courier New" w:hAnsi="Courier New" w:eastAsia="Times New Roman" w:cs="Courier New"/>
          <w:color w:val="000000"/>
          <w:sz w:val="20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У зв’язку з цим матеріал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ьно-технічна база установи виконання покарань, умов тримання засуджених та осіб, взятих під варту, не повною мірою відповідають вимогам Кримінально-виконавчого кодексу України, Закону України «Про попереднє ув’язнення», Декларації прав людини і основополож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них свобод, а також мінімальним стандартним правилам поводження з ув’язненими та Європейським в’язничним правилам.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Наближається до критичної межі технічний стан більшості об’єктів інженерного та комунально-побутового забезпечення, а також технологічного о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бладнання і транспортних засобів виправної колонії.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Courier New"/>
          <w:color w:val="000000"/>
          <w:sz w:val="28"/>
          <w:szCs w:val="20"/>
        </w:rPr>
      </w:pPr>
      <w:r>
        <w:rPr>
          <w:rFonts w:ascii="Times New Roman" w:hAnsi="Times New Roman" w:eastAsia="Times New Roman" w:cs="Courier New"/>
          <w:color w:val="000000"/>
          <w:sz w:val="28"/>
          <w:lang w:val="uk-UA" w:eastAsia="uk-UA"/>
        </w:rPr>
        <w:t xml:space="preserve">Необхідне проведення капітальних та поточних ремонтів у адміністративних та службових приміщеннях також гуртожитків соціально – виховної та психологічної роботи й інших приміщень установи. </w:t>
      </w:r>
      <w:r>
        <w:rPr>
          <w:rFonts w:ascii="Times New Roman" w:hAnsi="Times New Roman" w:eastAsia="Times New Roman" w:cs="Courier New"/>
          <w:color w:val="000000"/>
          <w:sz w:val="28"/>
          <w:szCs w:val="20"/>
        </w:rPr>
      </w:r>
      <w:r>
        <w:rPr>
          <w:rFonts w:ascii="Times New Roman" w:hAnsi="Times New Roman" w:eastAsia="Times New Roman" w:cs="Courier New"/>
          <w:color w:val="000000"/>
          <w:sz w:val="28"/>
          <w:szCs w:val="20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Для забезпечення більш якісного контролю за оперативною обстановкою в установі, недопущення скоєння засудженими нових злочинів та потрапляння в охорону зону заборонених предметів (наркотичних та психотропних засобів, мобільних телефонів тощо) необхідно про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вести ремонтні роботи основної огорожі виправної колонії, придбати відповідні технічні засоби для блокування та виявлення заборонених предметів, бюджетні кошти на придбання яких протягом останніх років не виділялись взагалі.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0" w:before="0" w:beforeAutospacing="0"/>
        <w:ind w:right="-1"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Для часткового розв’язання цих та інших проблем  діяльності установи виконання покарань покликана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Програма сприяння діяльності д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ержавної установи «Менська виправна колонія (№91)» в рамках Стратегії реформування пенітенціарної системи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 на 2025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 рік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 w:right="-1" w:firstLine="567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</w:p>
    <w:p>
      <w:pPr>
        <w:pBdr/>
        <w:spacing w:after="0" w:afterAutospacing="0" w:before="0" w:beforeAutospacing="0"/>
        <w:ind w:right="-1" w:firstLine="567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0" w:before="0" w:beforeAutospacing="0"/>
        <w:ind/>
        <w:jc w:val="both"/>
        <w:rPr>
          <w:rFonts w:ascii="Courier New" w:hAnsi="Courier New" w:eastAsia="Times New Roman" w:cs="Courier New"/>
          <w:color w:val="000000"/>
          <w:sz w:val="28"/>
          <w:szCs w:val="28"/>
          <w:lang w:val="uk-UA"/>
        </w:rPr>
      </w:pPr>
      <w:r>
        <w:rPr>
          <w:rFonts w:ascii="Courier New" w:hAnsi="Courier New" w:eastAsia="Times New Roman" w:cs="Courier New"/>
          <w:color w:val="000000"/>
          <w:sz w:val="28"/>
          <w:szCs w:val="28"/>
          <w:lang w:val="uk-UA"/>
        </w:rPr>
      </w:r>
      <w:r>
        <w:rPr>
          <w:rFonts w:ascii="Courier New" w:hAnsi="Courier New" w:eastAsia="Times New Roman" w:cs="Courier New"/>
          <w:color w:val="000000"/>
          <w:sz w:val="28"/>
          <w:szCs w:val="28"/>
          <w:lang w:val="uk-UA"/>
        </w:rPr>
      </w:r>
      <w:r>
        <w:rPr>
          <w:rFonts w:ascii="Courier New" w:hAnsi="Courier New" w:eastAsia="Times New Roman" w:cs="Courier New"/>
          <w:color w:val="000000"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 w:firstLine="568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uk-UA"/>
        </w:rPr>
        <w:t xml:space="preserve">3. Мет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uk-UA"/>
        </w:rPr>
        <w:t xml:space="preserve">а програми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uk-UA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  <w:t xml:space="preserve">Основною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метою Програми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є створення гуманного середовища, забезпечення безпечності тримання, прав засуджених та осіб, взятих під варту, приведення матеріально-технічного забезпечення установ виконання покарань та слідчих ізоляторів і умов триман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ня у відповідність з вимогами національного законодавства та міжнародно-правових актів в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установі Державної кримінально – виконавчої служби на території Менської міської територіальної громади.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 w:firstLine="568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4. Шляхи і засоби розв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’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язання проблеми, обсяги та джерела фінансування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  <w:t xml:space="preserve">Фінансування Програми здійснюється за рахунок коштів бюджету Менської міської територіальної громади та інших джерел, не заборонених законодавством та здійснюється в межах видатків, затверджених на відповідни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  <w:t xml:space="preserve">й рік за відповідним напрямком, виходячи з фінансових можливостей, з врахуванням вимог ст. 85 Бюджетного кодексу України.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  <w:t xml:space="preserve">Обсяги фінансових ресурсів та напрямки їх використання можуть коригуватися в залежності від потреби та фінансової можливості.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  <w:t xml:space="preserve">Фінансув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  <w:t xml:space="preserve">ання Програми може здійснюватися шляхом передачі субвенції з місцевого бюджету державному бюджету. 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</w:r>
    </w:p>
    <w:p>
      <w:pPr>
        <w:widowControl w:val="false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5. Ресурсне забезпечення Програми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tbl>
      <w:tblPr>
        <w:tblW w:w="47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936"/>
        <w:gridCol w:w="2404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6" w:type="dxa"/>
            <w:vAlign w:val="center"/>
            <w:textDirection w:val="lrTb"/>
            <w:noWrap/>
          </w:tcPr>
          <w:p>
            <w:pPr>
              <w:pBdr/>
              <w:spacing w:after="0" w:afterAutospacing="0" w:before="0" w:beforeAutospacing="0"/>
              <w:ind w:left="14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4" w:type="dxa"/>
            <w:vAlign w:val="center"/>
            <w:textDirection w:val="lrTb"/>
            <w:noWrap/>
          </w:tcPr>
          <w:p>
            <w:pPr>
              <w:pBdr/>
              <w:spacing w:after="0" w:afterAutospacing="0" w:before="0" w:beforeAutospacing="0"/>
              <w:ind w:left="14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150 000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 грн.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widowControl w:val="false"/>
        <w:pBdr/>
        <w:spacing w:after="0" w:afterAutospacing="0" w:before="0" w:beforeAutospacing="0"/>
        <w:ind w:firstLine="568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 w:firstLine="568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6. Перелік завдань, заходів програми та результативні показники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Програмі передбачається реалізація комплексу заходів із забезпечення належного рівня безпеки та правопорядку в установі виконання покарань, приведення умов тримання засуджених відповідно до в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имог мінімальних стандартних правил поводження з ув’язненими та до норм Європейських в’язничних правил, а саме: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65"/>
        <w:widowControl w:val="false"/>
        <w:numPr>
          <w:ilvl w:val="0"/>
          <w:numId w:val="32"/>
        </w:numPr>
        <w:pBdr/>
        <w:shd w:val="clear" w:color="auto" w:fill="ffffff"/>
        <w:spacing w:after="0" w:afterAutospacing="0" w:before="0" w:beforeAutospacing="0"/>
        <w:ind w:right="43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приведення у відповідність з міжнародними стандартами матеріально-побутових та санітарно-гігієнічних умов тримання засуджених та осіб, взятих під варту;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  <w:t xml:space="preserve">Реалізація заходів Програми дозволить: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val="uk-UA" w:eastAsia="uk-UA"/>
        </w:rPr>
      </w:r>
    </w:p>
    <w:p>
      <w:pPr>
        <w:pStyle w:val="96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</w:rPr>
        <w:t xml:space="preserve">приве</w:t>
      </w:r>
      <w:r>
        <w:rPr>
          <w:sz w:val="28"/>
          <w:szCs w:val="28"/>
          <w:lang w:val="uk-UA"/>
        </w:rPr>
        <w:t xml:space="preserve">сти</w:t>
      </w:r>
      <w:r>
        <w:rPr>
          <w:sz w:val="28"/>
          <w:szCs w:val="28"/>
        </w:rPr>
        <w:t xml:space="preserve"> у відповідність з міжнародними стандартами матеріально-побутових та санітарно-гігієнічних умов тримання засуджених та осіб, взятих під варту;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/>
      <w:bookmarkStart w:id="0" w:name="n111"/>
      <w:r/>
      <w:bookmarkEnd w:id="0"/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віднов</w:t>
      </w:r>
      <w:r>
        <w:rPr>
          <w:sz w:val="28"/>
          <w:szCs w:val="28"/>
          <w:lang w:val="uk-UA"/>
        </w:rPr>
        <w:t xml:space="preserve">ити</w:t>
      </w:r>
      <w:r>
        <w:rPr>
          <w:sz w:val="28"/>
          <w:szCs w:val="28"/>
        </w:rPr>
        <w:t xml:space="preserve"> та онов</w:t>
      </w:r>
      <w:r>
        <w:rPr>
          <w:sz w:val="28"/>
          <w:szCs w:val="28"/>
          <w:lang w:val="uk-UA"/>
        </w:rPr>
        <w:t xml:space="preserve">ити</w:t>
      </w:r>
      <w:r>
        <w:rPr>
          <w:sz w:val="28"/>
          <w:szCs w:val="28"/>
        </w:rPr>
        <w:t xml:space="preserve"> інфраструктур</w:t>
      </w: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</w:rPr>
        <w:t xml:space="preserve"> установ</w:t>
      </w:r>
      <w:r>
        <w:rPr>
          <w:sz w:val="28"/>
          <w:szCs w:val="28"/>
          <w:lang w:val="uk-UA"/>
        </w:rPr>
        <w:t xml:space="preserve">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/>
      <w:bookmarkStart w:id="1" w:name="n112"/>
      <w:r/>
      <w:bookmarkEnd w:id="1"/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створ</w:t>
      </w:r>
      <w:r>
        <w:rPr>
          <w:sz w:val="28"/>
          <w:szCs w:val="28"/>
          <w:lang w:val="uk-UA"/>
        </w:rPr>
        <w:t xml:space="preserve">ити</w:t>
      </w:r>
      <w:r>
        <w:rPr>
          <w:sz w:val="28"/>
          <w:szCs w:val="28"/>
        </w:rPr>
        <w:t xml:space="preserve"> механізм, спрямован</w:t>
      </w:r>
      <w:r>
        <w:rPr>
          <w:sz w:val="28"/>
          <w:szCs w:val="28"/>
          <w:lang w:val="uk-UA"/>
        </w:rPr>
        <w:t xml:space="preserve">ий</w:t>
      </w:r>
      <w:r>
        <w:rPr>
          <w:sz w:val="28"/>
          <w:szCs w:val="28"/>
        </w:rPr>
        <w:t xml:space="preserve"> на поновлення прав засуджених та</w:t>
      </w:r>
      <w:r>
        <w:rPr>
          <w:sz w:val="28"/>
          <w:szCs w:val="28"/>
        </w:rPr>
        <w:t xml:space="preserve"> осіб, взятих під варту, у зв’язку з неналежними умовами тримання</w:t>
      </w:r>
      <w:bookmarkStart w:id="2" w:name="n113"/>
      <w:r/>
      <w:bookmarkEnd w:id="2"/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h="16834" w:orient="portrait" w:w="11909"/>
          <w:pgMar w:top="993" w:right="567" w:bottom="709" w:left="1701" w:header="720" w:footer="720" w:gutter="0"/>
          <w:cols w:num="1" w:sep="0" w:space="720" w:equalWidth="1"/>
          <w:titlePg/>
        </w:sect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7. Напрямки діяльності та заходи Програми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tbl>
      <w:tblPr>
        <w:tblW w:w="157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246"/>
        <w:gridCol w:w="709"/>
        <w:gridCol w:w="2693"/>
        <w:gridCol w:w="1697"/>
        <w:gridCol w:w="1988"/>
        <w:gridCol w:w="2722"/>
      </w:tblGrid>
      <w:tr>
        <w:trPr>
          <w:trHeight w:val="2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  <w:t xml:space="preserve">№ з/п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  <w:t xml:space="preserve">Перелік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  <w:t xml:space="preserve">заходів Програми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btLr"/>
            <w:noWrap/>
          </w:tcPr>
          <w:p>
            <w:pPr>
              <w:pBdr/>
              <w:spacing w:after="0" w:afterAutospacing="0" w:before="0" w:beforeAutospacing="0"/>
              <w:ind w:right="113" w:left="113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  <w:t xml:space="preserve">Термінвиконання заходу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  <w:t xml:space="preserve">Виконавці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vAlign w:val="center"/>
            <w:vMerge w:val="restart"/>
            <w:textDirection w:val="btLr"/>
            <w:noWrap/>
          </w:tcPr>
          <w:p>
            <w:pPr>
              <w:pBdr/>
              <w:spacing w:after="0" w:afterAutospacing="0" w:before="0" w:beforeAutospacing="0"/>
              <w:ind w:right="113" w:left="113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  <w:t xml:space="preserve">Джерелафінансування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vAlign w:val="center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  <w:t xml:space="preserve">Орієнтовні обсяги фінансуванн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  <w:lang w:val="uk-UA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  <w:t xml:space="preserve">, грн., у тому числі: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  <w:t xml:space="preserve">Очікуваний результат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</w:p>
        </w:tc>
      </w:tr>
      <w:tr>
        <w:trPr>
          <w:trHeight w:val="4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8" w:type="dxa"/>
            <w:vAlign w:val="center"/>
            <w:textDirection w:val="lrTb"/>
            <w:noWrap/>
          </w:tcPr>
          <w:p>
            <w:pPr>
              <w:widowControl w:val="false"/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  <w:lang w:val="uk-UA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  <w:t xml:space="preserve"> р.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vAlign w:val="center"/>
            <w:vMerge w:val="continue"/>
            <w:textDirection w:val="lrTb"/>
            <w:noWrap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vAlign w:val="center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vAlign w:val="center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vAlign w:val="center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vAlign w:val="center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vAlign w:val="center"/>
            <w:textDirection w:val="lrTb"/>
            <w:noWrap/>
          </w:tcPr>
          <w:p>
            <w:pPr>
              <w:widowControl w:val="false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Придбання інженерно-технічних засобів охорони.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/>
          </w:tcPr>
          <w:p>
            <w:pPr>
              <w:pBdr/>
              <w:spacing w:after="0" w:afterAutospacing="0" w:before="0" w:beforeAutospacing="0"/>
              <w:ind w:right="113" w:lef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рік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widowControl w:val="false"/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державнаустанова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нськавиправнаколонія (№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1)»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vAlign w:val="center"/>
            <w:textDirection w:val="lrTb"/>
            <w:noWrap/>
          </w:tcPr>
          <w:p>
            <w:pPr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vAlign w:val="center"/>
            <w:textDirection w:val="lrTb"/>
            <w:noWrap/>
          </w:tcPr>
          <w:p>
            <w:pPr>
              <w:widowControl w:val="false"/>
              <w:pBdr/>
              <w:spacing w:after="0" w:afterAutospacing="0" w:before="0" w:beforeAutospacing="0"/>
              <w:ind w:right="-108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150 000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vAlign w:val="center"/>
            <w:textDirection w:val="lrTb"/>
            <w:noWrap/>
          </w:tcPr>
          <w:p>
            <w:pPr>
              <w:widowControl w:val="false"/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Забезпечення безпечності тримання, прав засуджених та осіб, взятих під варту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 w:afterAutospacing="0" w:before="0" w:beforeAutospacing="0"/>
        <w:ind/>
        <w:rPr>
          <w:rFonts w:ascii="Times New Roman" w:hAnsi="Times New Roman" w:eastAsia="Times New Roman" w:cs="Times New Roman"/>
          <w:sz w:val="28"/>
          <w:szCs w:val="28"/>
          <w:lang w:val="uk-UA"/>
        </w:rPr>
        <w:sectPr>
          <w:footnotePr/>
          <w:endnotePr/>
          <w:type w:val="nextPage"/>
          <w:pgSz w:h="11909" w:orient="landscape" w:w="16834"/>
          <w:pgMar w:top="1134" w:right="567" w:bottom="567" w:left="567" w:header="720" w:footer="720" w:gutter="0"/>
          <w:pgNumType w:start="5"/>
          <w:cols w:num="1" w:sep="0" w:space="720" w:equalWidth="1"/>
        </w:sect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8. ОЧІКУВАНІ  РЕЗУЛЬТАТИ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Результатами виконання комплексу завдань, передбачених Програмою, , мають бути: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- забезпечення належного рівня безпеки населення, захищеності території Менської територіальної громади від злочинних посягань;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- удосконалення механізму проведення моніторингу і прогнозування виникнення правопорушення;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- своєчасне реагування на вчинення кримінальних правопорушень та інші події;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- зниження ризиків виникнення правопорушень, пов'язаних з небезпекою для життя і здоро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в'я громадян, та створення сприятливих соціальних умов життєдіяльності населення;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- забезпечення своєчасного реагування на зміни в оперативній обстановці на території Менської територіальної громади;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- забезпечення в межах своїх повноважень реалізації дер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жавної політики у сферах забезпечення охорони прав і свобод людини, інтересів суспільства і держави, протидії злочинності, підтримання публічної безпеки та порядку;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- надання в межах, визначених законом, послуг з допомоги особам, які з особистих, економічн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их, соціальних причин або внаслідок надзвичайних ситуацій потребують такої допомоги;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- поліпшення стану матеріально-технічного забезпечення державної установи «Менська виправна колонія (№91)»;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- підвищення ефективності використання коштів, що спрямовуються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на здійснення заходів захисту населення і територій від учинення кримінальних та адміністративних правопорушень.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9. ПРОГНОЗ РЕЗУЛЬТАТІВ ВИКОНАННЯ ПРОГРАМИ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Виконання заходів Програми дасть змогу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створити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належн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тримання засуджених та осіб, взятих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 варту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 w:firstLine="993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10. МЕХАНІЗМ УПРАВЛІННЯ ТА ЗДІЙСНЕННЯ КОНТРОЛЮ ЗА ВИКОНАННЯМ ПРОГРАМИ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Координація роботи, пов’язаної з проведенням заходів, передбачених цією Програмою, та здійснення контролю за її виконанням покладається на державну установу «Менська виправна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колонія (№91)»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Контроль за реалізацією заходів, передбачених Програмою, здійснює Менська міська рада.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</w:p>
    <w:p>
      <w:pPr>
        <w:widowControl w:val="false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6520"/>
          <w:tab w:val="left" w:leader="none" w:pos="6803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з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6520"/>
          <w:tab w:val="left" w:leader="none" w:pos="6803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питань діяльності виконавчих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6520"/>
          <w:tab w:val="left" w:leader="none" w:pos="6803"/>
        </w:tabs>
        <w:spacing w:after="0" w:afterAutospacing="0" w:before="0" w:beforeAutospacing="0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органів ради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Сергій ГАЄВОЙ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/>
        <w:ind/>
        <w:rPr/>
      </w:pPr>
      <w:r>
        <w:separator/>
      </w:r>
      <w:r/>
    </w:p>
  </w:endnote>
  <w:endnote w:type="continuationSeparator" w:id="0">
    <w:p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pBdr/>
      <w:tabs>
        <w:tab w:val="left" w:leader="none" w:pos="2835"/>
        <w:tab w:val="left" w:leader="none" w:pos="4252"/>
        <w:tab w:val="clear" w:leader="none" w:pos="7143"/>
        <w:tab w:val="clear" w:leader="none" w:pos="14287"/>
      </w:tabs>
      <w:spacing/>
      <w:ind/>
      <w:jc w:val="right"/>
      <w:rPr>
        <w:rFonts w:ascii="Times New Roman" w:hAnsi="Times New Roman" w:eastAsia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  <w:tab/>
      <w:t xml:space="preserve">продовження додатка</w:t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063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3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827"/>
      </w:pPr>
      <w:rPr>
        <w:rFonts w:hint="default" w:ascii="Calibri" w:hAnsi="Calibri" w:cs="Calibri" w:eastAsiaTheme="minorEastAsia"/>
        <w:color w:val="333333"/>
        <w:sz w:val="22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tabs>
          <w:tab w:val="num" w:leader="none" w:pos="2333"/>
        </w:tabs>
        <w:spacing/>
        <w:ind w:hanging="360" w:left="2333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00"/>
        </w:tabs>
        <w:spacing/>
        <w:ind w:hanging="360" w:left="20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20"/>
        </w:tabs>
        <w:spacing/>
        <w:ind w:hanging="360" w:left="27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40"/>
        </w:tabs>
        <w:spacing/>
        <w:ind w:hanging="360" w:left="34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60"/>
        </w:tabs>
        <w:spacing/>
        <w:ind w:hanging="360" w:left="41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80"/>
        </w:tabs>
        <w:spacing/>
        <w:ind w:hanging="360" w:left="48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00"/>
        </w:tabs>
        <w:spacing/>
        <w:ind w:hanging="360" w:left="56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20"/>
        </w:tabs>
        <w:spacing/>
        <w:ind w:hanging="360" w:left="63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40"/>
        </w:tabs>
        <w:spacing/>
        <w:ind w:hanging="360" w:left="704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21"/>
  </w:num>
  <w:num w:numId="5">
    <w:abstractNumId w:val="24"/>
  </w:num>
  <w:num w:numId="6">
    <w:abstractNumId w:val="20"/>
  </w:num>
  <w:num w:numId="7">
    <w:abstractNumId w:val="11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8">
    <w:abstractNumId w:val="25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9">
    <w:abstractNumId w:val="1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0">
    <w:abstractNumId w:val="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1">
    <w:abstractNumId w:val="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2">
    <w:abstractNumId w:val="27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3">
    <w:abstractNumId w:val="9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4">
    <w:abstractNumId w:val="19"/>
  </w:num>
  <w:num w:numId="15">
    <w:abstractNumId w:val="28"/>
  </w:num>
  <w:num w:numId="16">
    <w:abstractNumId w:val="1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7">
    <w:abstractNumId w:val="3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8">
    <w:abstractNumId w:val="2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9">
    <w:abstractNumId w:val="17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0">
    <w:abstractNumId w:val="2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1">
    <w:abstractNumId w:val="8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2">
    <w:abstractNumId w:val="31"/>
  </w:num>
  <w:num w:numId="23">
    <w:abstractNumId w:val="18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4">
    <w:abstractNumId w:val="1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5">
    <w:abstractNumId w:val="1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6">
    <w:abstractNumId w:val="29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7">
    <w:abstractNumId w:val="0"/>
  </w:num>
  <w:num w:numId="28">
    <w:abstractNumId w:val="22"/>
  </w:num>
  <w:num w:numId="29">
    <w:abstractNumId w:val="12"/>
  </w:num>
  <w:num w:numId="30">
    <w:abstractNumId w:val="4"/>
  </w:num>
  <w:num w:numId="31">
    <w:abstractNumId w:val="12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100" w:afterAutospacing="1" w:before="100" w:beforeAutospacing="1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6">
    <w:name w:val="Intense Emphasis"/>
    <w:basedOn w:val="7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7">
    <w:name w:val="Intense Reference"/>
    <w:basedOn w:val="7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8">
    <w:name w:val="Subtle Emphasis"/>
    <w:basedOn w:val="7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9">
    <w:name w:val="Emphasis"/>
    <w:basedOn w:val="774"/>
    <w:uiPriority w:val="20"/>
    <w:qFormat/>
    <w:pPr>
      <w:pBdr/>
      <w:spacing/>
      <w:ind/>
    </w:pPr>
    <w:rPr>
      <w:i/>
      <w:iCs/>
    </w:rPr>
  </w:style>
  <w:style w:type="character" w:styleId="770">
    <w:name w:val="Subtle Reference"/>
    <w:basedOn w:val="7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1">
    <w:name w:val="Book Title"/>
    <w:basedOn w:val="7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2">
    <w:name w:val="FollowedHyperlink"/>
    <w:basedOn w:val="7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3" w:default="1">
    <w:name w:val="Normal"/>
    <w:qFormat/>
    <w:pPr>
      <w:pBdr/>
      <w:spacing/>
      <w:ind/>
    </w:pPr>
  </w:style>
  <w:style w:type="character" w:styleId="774" w:default="1">
    <w:name w:val="Default Paragraph Font"/>
    <w:uiPriority w:val="1"/>
    <w:semiHidden/>
    <w:unhideWhenUsed/>
    <w:pPr>
      <w:pBdr/>
      <w:spacing/>
      <w:ind/>
    </w:pPr>
  </w:style>
  <w:style w:type="table" w:styleId="77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6" w:default="1">
    <w:name w:val="No List"/>
    <w:uiPriority w:val="99"/>
    <w:semiHidden/>
    <w:unhideWhenUsed/>
    <w:pPr>
      <w:pBdr/>
      <w:spacing/>
      <w:ind/>
    </w:pPr>
  </w:style>
  <w:style w:type="character" w:styleId="777" w:customStyle="1">
    <w:name w:val="Title Char"/>
    <w:basedOn w:val="774"/>
    <w:link w:val="801"/>
    <w:uiPriority w:val="10"/>
    <w:pPr>
      <w:pBdr/>
      <w:spacing/>
      <w:ind/>
    </w:pPr>
    <w:rPr>
      <w:sz w:val="48"/>
      <w:szCs w:val="48"/>
    </w:rPr>
  </w:style>
  <w:style w:type="character" w:styleId="778" w:customStyle="1">
    <w:name w:val="Subtitle Char"/>
    <w:basedOn w:val="774"/>
    <w:link w:val="803"/>
    <w:uiPriority w:val="11"/>
    <w:pPr>
      <w:pBdr/>
      <w:spacing/>
      <w:ind/>
    </w:pPr>
    <w:rPr>
      <w:sz w:val="24"/>
      <w:szCs w:val="24"/>
    </w:rPr>
  </w:style>
  <w:style w:type="character" w:styleId="779" w:customStyle="1">
    <w:name w:val="Quote Char"/>
    <w:link w:val="805"/>
    <w:uiPriority w:val="29"/>
    <w:pPr>
      <w:pBdr/>
      <w:spacing/>
      <w:ind/>
    </w:pPr>
    <w:rPr>
      <w:i/>
    </w:rPr>
  </w:style>
  <w:style w:type="character" w:styleId="780" w:customStyle="1">
    <w:name w:val="Intense Quote Char"/>
    <w:link w:val="807"/>
    <w:uiPriority w:val="30"/>
    <w:pPr>
      <w:pBdr/>
      <w:spacing/>
      <w:ind/>
    </w:pPr>
    <w:rPr>
      <w:i/>
    </w:rPr>
  </w:style>
  <w:style w:type="character" w:styleId="781" w:customStyle="1">
    <w:name w:val="Footnote Text Char"/>
    <w:link w:val="942"/>
    <w:uiPriority w:val="99"/>
    <w:pPr>
      <w:pBdr/>
      <w:spacing/>
      <w:ind/>
    </w:pPr>
    <w:rPr>
      <w:sz w:val="18"/>
    </w:rPr>
  </w:style>
  <w:style w:type="character" w:styleId="782" w:customStyle="1">
    <w:name w:val="Endnote Text Char"/>
    <w:link w:val="945"/>
    <w:uiPriority w:val="99"/>
    <w:pPr>
      <w:pBdr/>
      <w:spacing/>
      <w:ind/>
    </w:pPr>
    <w:rPr>
      <w:sz w:val="20"/>
    </w:rPr>
  </w:style>
  <w:style w:type="paragraph" w:styleId="783" w:customStyle="1">
    <w:name w:val="Heading 1"/>
    <w:basedOn w:val="773"/>
    <w:next w:val="773"/>
    <w:link w:val="784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84" w:customStyle="1">
    <w:name w:val="Heading 1 Char"/>
    <w:basedOn w:val="774"/>
    <w:link w:val="78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5" w:customStyle="1">
    <w:name w:val="Heading 2"/>
    <w:basedOn w:val="773"/>
    <w:next w:val="773"/>
    <w:link w:val="786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character" w:styleId="786" w:customStyle="1">
    <w:name w:val="Heading 2 Char"/>
    <w:basedOn w:val="774"/>
    <w:link w:val="78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7" w:customStyle="1">
    <w:name w:val="Heading 3"/>
    <w:basedOn w:val="773"/>
    <w:next w:val="773"/>
    <w:link w:val="788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88" w:customStyle="1">
    <w:name w:val="Heading 3 Char"/>
    <w:basedOn w:val="774"/>
    <w:link w:val="7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9" w:customStyle="1">
    <w:name w:val="Heading 4"/>
    <w:basedOn w:val="773"/>
    <w:next w:val="773"/>
    <w:link w:val="790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4 Char"/>
    <w:basedOn w:val="774"/>
    <w:link w:val="7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1" w:customStyle="1">
    <w:name w:val="Heading 5"/>
    <w:basedOn w:val="773"/>
    <w:next w:val="773"/>
    <w:link w:val="79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Heading 5 Char"/>
    <w:basedOn w:val="774"/>
    <w:link w:val="7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3" w:customStyle="1">
    <w:name w:val="Heading 6"/>
    <w:basedOn w:val="773"/>
    <w:next w:val="773"/>
    <w:link w:val="794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character" w:styleId="794" w:customStyle="1">
    <w:name w:val="Heading 6 Char"/>
    <w:basedOn w:val="774"/>
    <w:link w:val="7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5" w:customStyle="1">
    <w:name w:val="Heading 7"/>
    <w:basedOn w:val="773"/>
    <w:next w:val="773"/>
    <w:link w:val="79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6" w:customStyle="1">
    <w:name w:val="Heading 7 Char"/>
    <w:basedOn w:val="774"/>
    <w:link w:val="7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7" w:customStyle="1">
    <w:name w:val="Heading 8"/>
    <w:basedOn w:val="773"/>
    <w:next w:val="773"/>
    <w:link w:val="798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character" w:styleId="798" w:customStyle="1">
    <w:name w:val="Heading 8 Char"/>
    <w:basedOn w:val="774"/>
    <w:link w:val="7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9" w:customStyle="1">
    <w:name w:val="Heading 9"/>
    <w:basedOn w:val="773"/>
    <w:next w:val="773"/>
    <w:link w:val="80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Heading 9 Char"/>
    <w:basedOn w:val="774"/>
    <w:link w:val="7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1">
    <w:name w:val="Title"/>
    <w:basedOn w:val="773"/>
    <w:next w:val="773"/>
    <w:link w:val="80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02" w:customStyle="1">
    <w:name w:val="Название Знак"/>
    <w:basedOn w:val="774"/>
    <w:link w:val="801"/>
    <w:uiPriority w:val="10"/>
    <w:pPr>
      <w:pBdr/>
      <w:spacing/>
      <w:ind/>
    </w:pPr>
    <w:rPr>
      <w:sz w:val="48"/>
      <w:szCs w:val="48"/>
    </w:rPr>
  </w:style>
  <w:style w:type="paragraph" w:styleId="803">
    <w:name w:val="Subtitle"/>
    <w:basedOn w:val="773"/>
    <w:next w:val="773"/>
    <w:link w:val="804"/>
    <w:uiPriority w:val="11"/>
    <w:qFormat/>
    <w:pPr>
      <w:pBdr/>
      <w:spacing w:before="200"/>
      <w:ind/>
    </w:pPr>
    <w:rPr>
      <w:sz w:val="24"/>
      <w:szCs w:val="24"/>
    </w:rPr>
  </w:style>
  <w:style w:type="character" w:styleId="804" w:customStyle="1">
    <w:name w:val="Подзаголовок Знак"/>
    <w:basedOn w:val="774"/>
    <w:link w:val="803"/>
    <w:uiPriority w:val="11"/>
    <w:pPr>
      <w:pBdr/>
      <w:spacing/>
      <w:ind/>
    </w:pPr>
    <w:rPr>
      <w:sz w:val="24"/>
      <w:szCs w:val="24"/>
    </w:rPr>
  </w:style>
  <w:style w:type="paragraph" w:styleId="805">
    <w:name w:val="Quote"/>
    <w:basedOn w:val="773"/>
    <w:next w:val="773"/>
    <w:link w:val="806"/>
    <w:uiPriority w:val="29"/>
    <w:qFormat/>
    <w:pPr>
      <w:pBdr/>
      <w:spacing/>
      <w:ind w:right="720" w:left="720"/>
    </w:pPr>
    <w:rPr>
      <w:i/>
    </w:rPr>
  </w:style>
  <w:style w:type="character" w:styleId="806" w:customStyle="1">
    <w:name w:val="Цитата 2 Знак"/>
    <w:link w:val="805"/>
    <w:uiPriority w:val="29"/>
    <w:pPr>
      <w:pBdr/>
      <w:spacing/>
      <w:ind/>
    </w:pPr>
    <w:rPr>
      <w:i/>
    </w:rPr>
  </w:style>
  <w:style w:type="paragraph" w:styleId="807">
    <w:name w:val="Intense Quote"/>
    <w:basedOn w:val="773"/>
    <w:next w:val="773"/>
    <w:link w:val="8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8" w:customStyle="1">
    <w:name w:val="Выделенная цитата Знак"/>
    <w:link w:val="807"/>
    <w:uiPriority w:val="30"/>
    <w:pPr>
      <w:pBdr/>
      <w:spacing/>
      <w:ind/>
    </w:pPr>
    <w:rPr>
      <w:i/>
    </w:rPr>
  </w:style>
  <w:style w:type="paragraph" w:styleId="809" w:customStyle="1">
    <w:name w:val="Header"/>
    <w:basedOn w:val="773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 w:after="0"/>
      <w:ind/>
    </w:pPr>
  </w:style>
  <w:style w:type="character" w:styleId="810" w:customStyle="1">
    <w:name w:val="Header Char"/>
    <w:basedOn w:val="774"/>
    <w:link w:val="809"/>
    <w:uiPriority w:val="99"/>
    <w:pPr>
      <w:pBdr/>
      <w:spacing/>
      <w:ind/>
    </w:pPr>
  </w:style>
  <w:style w:type="paragraph" w:styleId="811" w:customStyle="1">
    <w:name w:val="Footer"/>
    <w:basedOn w:val="773"/>
    <w:link w:val="814"/>
    <w:uiPriority w:val="99"/>
    <w:unhideWhenUsed/>
    <w:pPr>
      <w:pBdr/>
      <w:tabs>
        <w:tab w:val="center" w:leader="none" w:pos="7143"/>
        <w:tab w:val="right" w:leader="none" w:pos="14287"/>
      </w:tabs>
      <w:spacing w:after="0"/>
      <w:ind/>
    </w:pPr>
  </w:style>
  <w:style w:type="character" w:styleId="812" w:customStyle="1">
    <w:name w:val="Footer Char"/>
    <w:basedOn w:val="774"/>
    <w:link w:val="811"/>
    <w:uiPriority w:val="99"/>
    <w:pPr>
      <w:pBdr/>
      <w:spacing/>
      <w:ind/>
    </w:pPr>
  </w:style>
  <w:style w:type="paragraph" w:styleId="813" w:customStyle="1">
    <w:name w:val="Caption"/>
    <w:basedOn w:val="773"/>
    <w:next w:val="773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14" w:customStyle="1">
    <w:name w:val="Caption Char"/>
    <w:link w:val="811"/>
    <w:uiPriority w:val="99"/>
    <w:pPr>
      <w:pBdr/>
      <w:spacing/>
      <w:ind/>
    </w:pPr>
  </w:style>
  <w:style w:type="table" w:styleId="815">
    <w:name w:val="Table Grid"/>
    <w:basedOn w:val="775"/>
    <w:uiPriority w:val="59"/>
    <w:pPr>
      <w:pBdr/>
      <w:spacing w:after="0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Table Grid Light"/>
    <w:basedOn w:val="775"/>
    <w:uiPriority w:val="59"/>
    <w:pPr>
      <w:pBdr/>
      <w:spacing w:after="0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Plain Table 1"/>
    <w:basedOn w:val="775"/>
    <w:uiPriority w:val="59"/>
    <w:pPr>
      <w:pBdr/>
      <w:spacing w:after="0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Plain Table 2"/>
    <w:basedOn w:val="775"/>
    <w:uiPriority w:val="59"/>
    <w:pPr>
      <w:pBdr/>
      <w:spacing w:after="0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Plain Table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Plain Table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Plain Table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"/>
    <w:basedOn w:val="775"/>
    <w:uiPriority w:val="5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1"/>
    <w:basedOn w:val="775"/>
    <w:uiPriority w:val="5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2"/>
    <w:basedOn w:val="775"/>
    <w:uiPriority w:val="5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3"/>
    <w:basedOn w:val="775"/>
    <w:uiPriority w:val="5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4"/>
    <w:basedOn w:val="775"/>
    <w:uiPriority w:val="5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5"/>
    <w:basedOn w:val="775"/>
    <w:uiPriority w:val="5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6"/>
    <w:basedOn w:val="775"/>
    <w:uiPriority w:val="5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1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2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3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4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5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6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1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2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3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4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5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6"/>
    <w:basedOn w:val="775"/>
    <w:uiPriority w:val="99"/>
    <w:pPr>
      <w:pBdr/>
      <w:spacing w:after="0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1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2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3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4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5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6"/>
    <w:basedOn w:val="775"/>
    <w:uiPriority w:val="99"/>
    <w:pPr>
      <w:pBdr/>
      <w:spacing w:after="0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2">
    <w:name w:val="footnote text"/>
    <w:basedOn w:val="773"/>
    <w:link w:val="943"/>
    <w:uiPriority w:val="99"/>
    <w:semiHidden/>
    <w:unhideWhenUsed/>
    <w:pPr>
      <w:pBdr/>
      <w:spacing w:after="40"/>
      <w:ind/>
    </w:pPr>
    <w:rPr>
      <w:sz w:val="18"/>
    </w:rPr>
  </w:style>
  <w:style w:type="character" w:styleId="943" w:customStyle="1">
    <w:name w:val="Текст сноски Знак"/>
    <w:link w:val="942"/>
    <w:uiPriority w:val="99"/>
    <w:pPr>
      <w:pBdr/>
      <w:spacing/>
      <w:ind/>
    </w:pPr>
    <w:rPr>
      <w:sz w:val="18"/>
    </w:rPr>
  </w:style>
  <w:style w:type="character" w:styleId="944">
    <w:name w:val="footnote reference"/>
    <w:basedOn w:val="774"/>
    <w:uiPriority w:val="99"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773"/>
    <w:link w:val="946"/>
    <w:uiPriority w:val="99"/>
    <w:semiHidden/>
    <w:unhideWhenUsed/>
    <w:pPr>
      <w:pBdr/>
      <w:spacing w:after="0"/>
      <w:ind/>
    </w:pPr>
    <w:rPr>
      <w:sz w:val="20"/>
    </w:rPr>
  </w:style>
  <w:style w:type="character" w:styleId="946" w:customStyle="1">
    <w:name w:val="Текст концевой сноски Знак"/>
    <w:link w:val="945"/>
    <w:uiPriority w:val="99"/>
    <w:pPr>
      <w:pBdr/>
      <w:spacing/>
      <w:ind/>
    </w:pPr>
    <w:rPr>
      <w:sz w:val="20"/>
    </w:rPr>
  </w:style>
  <w:style w:type="character" w:styleId="947">
    <w:name w:val="end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toc 1"/>
    <w:basedOn w:val="773"/>
    <w:next w:val="773"/>
    <w:uiPriority w:val="39"/>
    <w:unhideWhenUsed/>
    <w:pPr>
      <w:pBdr/>
      <w:spacing w:after="57"/>
      <w:ind/>
    </w:pPr>
  </w:style>
  <w:style w:type="paragraph" w:styleId="949">
    <w:name w:val="toc 2"/>
    <w:basedOn w:val="773"/>
    <w:next w:val="773"/>
    <w:uiPriority w:val="39"/>
    <w:unhideWhenUsed/>
    <w:pPr>
      <w:pBdr/>
      <w:spacing w:after="57"/>
      <w:ind w:left="283"/>
    </w:pPr>
  </w:style>
  <w:style w:type="paragraph" w:styleId="950">
    <w:name w:val="toc 3"/>
    <w:basedOn w:val="773"/>
    <w:next w:val="773"/>
    <w:uiPriority w:val="39"/>
    <w:unhideWhenUsed/>
    <w:pPr>
      <w:pBdr/>
      <w:spacing w:after="57"/>
      <w:ind w:left="567"/>
    </w:pPr>
  </w:style>
  <w:style w:type="paragraph" w:styleId="951">
    <w:name w:val="toc 4"/>
    <w:basedOn w:val="773"/>
    <w:next w:val="773"/>
    <w:uiPriority w:val="39"/>
    <w:unhideWhenUsed/>
    <w:pPr>
      <w:pBdr/>
      <w:spacing w:after="57"/>
      <w:ind w:left="850"/>
    </w:pPr>
  </w:style>
  <w:style w:type="paragraph" w:styleId="952">
    <w:name w:val="toc 5"/>
    <w:basedOn w:val="773"/>
    <w:next w:val="773"/>
    <w:uiPriority w:val="39"/>
    <w:unhideWhenUsed/>
    <w:pPr>
      <w:pBdr/>
      <w:spacing w:after="57"/>
      <w:ind w:left="1134"/>
    </w:pPr>
  </w:style>
  <w:style w:type="paragraph" w:styleId="953">
    <w:name w:val="toc 6"/>
    <w:basedOn w:val="773"/>
    <w:next w:val="773"/>
    <w:uiPriority w:val="39"/>
    <w:unhideWhenUsed/>
    <w:pPr>
      <w:pBdr/>
      <w:spacing w:after="57"/>
      <w:ind w:left="1417"/>
    </w:pPr>
  </w:style>
  <w:style w:type="paragraph" w:styleId="954">
    <w:name w:val="toc 7"/>
    <w:basedOn w:val="773"/>
    <w:next w:val="773"/>
    <w:uiPriority w:val="39"/>
    <w:unhideWhenUsed/>
    <w:pPr>
      <w:pBdr/>
      <w:spacing w:after="57"/>
      <w:ind w:left="1701"/>
    </w:pPr>
  </w:style>
  <w:style w:type="paragraph" w:styleId="955">
    <w:name w:val="toc 8"/>
    <w:basedOn w:val="773"/>
    <w:next w:val="773"/>
    <w:uiPriority w:val="39"/>
    <w:unhideWhenUsed/>
    <w:pPr>
      <w:pBdr/>
      <w:spacing w:after="57"/>
      <w:ind w:left="1984"/>
    </w:pPr>
  </w:style>
  <w:style w:type="paragraph" w:styleId="956">
    <w:name w:val="toc 9"/>
    <w:basedOn w:val="773"/>
    <w:next w:val="773"/>
    <w:uiPriority w:val="39"/>
    <w:unhideWhenUsed/>
    <w:pPr>
      <w:pBdr/>
      <w:spacing w:after="57"/>
      <w:ind w:left="2268"/>
    </w:p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>
    <w:name w:val="table of figures"/>
    <w:basedOn w:val="773"/>
    <w:next w:val="773"/>
    <w:uiPriority w:val="99"/>
    <w:unhideWhenUsed/>
    <w:pPr>
      <w:pBdr/>
      <w:spacing w:after="0"/>
      <w:ind/>
    </w:pPr>
  </w:style>
  <w:style w:type="paragraph" w:styleId="959">
    <w:name w:val="Normal (Web)"/>
    <w:basedOn w:val="773"/>
    <w:uiPriority w:val="99"/>
    <w:unhideWhenUsed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60" w:customStyle="1">
    <w:name w:val="apple-tab-span"/>
    <w:basedOn w:val="774"/>
    <w:pPr>
      <w:pBdr/>
      <w:spacing/>
      <w:ind/>
    </w:pPr>
  </w:style>
  <w:style w:type="paragraph" w:styleId="961">
    <w:name w:val="Balloon Text"/>
    <w:basedOn w:val="773"/>
    <w:link w:val="962"/>
    <w:uiPriority w:val="99"/>
    <w:semiHidden/>
    <w:unhideWhenUsed/>
    <w:pPr>
      <w:pBdr/>
      <w:spacing w:after="0"/>
      <w:ind/>
    </w:pPr>
    <w:rPr>
      <w:rFonts w:ascii="Tahoma" w:hAnsi="Tahoma" w:cs="Tahoma"/>
      <w:sz w:val="16"/>
      <w:szCs w:val="16"/>
    </w:rPr>
  </w:style>
  <w:style w:type="character" w:styleId="962" w:customStyle="1">
    <w:name w:val="Текст выноски Знак"/>
    <w:basedOn w:val="774"/>
    <w:link w:val="96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3" w:customStyle="1">
    <w:name w:val="1 Знак"/>
    <w:basedOn w:val="773"/>
    <w:pPr>
      <w:pBdr/>
      <w:spacing w:after="0"/>
      <w:ind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styleId="964">
    <w:name w:val="Strong"/>
    <w:basedOn w:val="774"/>
    <w:uiPriority w:val="22"/>
    <w:qFormat/>
    <w:pPr>
      <w:pBdr/>
      <w:spacing/>
      <w:ind/>
    </w:pPr>
    <w:rPr>
      <w:b/>
      <w:bCs/>
    </w:rPr>
  </w:style>
  <w:style w:type="paragraph" w:styleId="965">
    <w:name w:val="List Paragraph"/>
    <w:basedOn w:val="773"/>
    <w:uiPriority w:val="34"/>
    <w:qFormat/>
    <w:pPr>
      <w:pBdr/>
      <w:spacing/>
      <w:ind w:left="720"/>
      <w:contextualSpacing w:val="true"/>
    </w:pPr>
  </w:style>
  <w:style w:type="paragraph" w:styleId="966">
    <w:name w:val="No Spacing"/>
    <w:uiPriority w:val="1"/>
    <w:qFormat/>
    <w:pPr>
      <w:pBdr/>
      <w:spacing w:after="0"/>
      <w:ind/>
    </w:pPr>
  </w:style>
  <w:style w:type="paragraph" w:styleId="967" w:customStyle="1">
    <w:name w:val="docdata"/>
    <w:basedOn w:val="773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68" w:customStyle="1">
    <w:name w:val="rvps2"/>
    <w:basedOn w:val="773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804B7BC-382B-48B8-9D6A-AB56F2990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CC1D7AE-442A-4B93-AFE0-13FA3BACDBE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Карпенко Олександр Петрович</cp:lastModifiedBy>
  <cp:revision>61</cp:revision>
  <dcterms:created xsi:type="dcterms:W3CDTF">2023-03-06T09:33:00Z</dcterms:created>
  <dcterms:modified xsi:type="dcterms:W3CDTF">2025-11-06T10:13:33Z</dcterms:modified>
</cp:coreProperties>
</file>