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/>
        <w:spacing w:line="233" w:lineRule="auto"/>
        <w:ind w:left="5669"/>
        <w:jc w:val="left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  <w:t xml:space="preserve">Додаток </w:t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suppressLineNumbers w:val="false"/>
        <w:pBdr/>
        <w:spacing w:line="233" w:lineRule="auto"/>
        <w:ind w:left="5669"/>
        <w:jc w:val="left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  <w:t xml:space="preserve">до рішення 66 сесії Менської міської ради 8 скликання</w:t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suppressLineNumbers w:val="false"/>
        <w:pBdr/>
        <w:spacing w:line="233" w:lineRule="auto"/>
        <w:ind w:left="5669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highlight w:val="none"/>
        </w:rPr>
        <w:t xml:space="preserve">22 жовтня 2025 року №620</w:t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</w:rPr>
      </w:r>
    </w:p>
    <w:p>
      <w:pPr>
        <w:pBdr/>
        <w:spacing w:line="233" w:lineRule="auto"/>
        <w:ind/>
        <w:jc w:val="center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МЕМОРАНДУМ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  <w:highlight w:val="none"/>
        </w:rPr>
      </w:r>
    </w:p>
    <w:p>
      <w:pPr>
        <w:pBdr/>
        <w:spacing w:line="233" w:lineRule="auto"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 намір вступу до Місцевої асоціації органів місцевого самоврядування «Асоціація прифронтових міст та громад»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Bdr/>
        <w:spacing w:line="233" w:lineRule="auto"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8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>
        <w:trPr/>
        <w:tc>
          <w:tcPr>
            <w:tcBorders/>
            <w:tcW w:w="4814" w:type="dxa"/>
            <w:textDirection w:val="lrTb"/>
            <w:noWrap w:val="false"/>
          </w:tcPr>
          <w:p>
            <w:pPr>
              <w:pBdr/>
              <w:spacing w:line="233" w:lineRule="auto"/>
              <w:ind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м._________________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pBdr/>
              <w:spacing w:line="233" w:lineRule="auto"/>
              <w:ind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___________________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pBdr/>
        <w:spacing w:line="233" w:lineRule="auto"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rtl w:val="0"/>
        </w:rPr>
        <w:t xml:space="preserve">Місцева асоціація органів місцевого самоврядування «Асоціація прифронтових міст та громад»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rtl w:val="0"/>
        </w:rPr>
        <w:t xml:space="preserve"> в особі Голови Асоціації – Терехова Ігоря Олександровича, який діє на підставі Статуту, </w:t>
      </w:r>
      <w:r>
        <w:rPr>
          <w:rFonts w:ascii="Times New Roman" w:hAnsi="Times New Roman" w:eastAsia="Times New Roman" w:cs="Times New Roman"/>
          <w:i/>
          <w:color w:val="000000"/>
          <w:sz w:val="26"/>
          <w:szCs w:val="26"/>
          <w:rtl w:val="0"/>
        </w:rPr>
        <w:t xml:space="preserve">(далі – Асоціація)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rtl w:val="0"/>
        </w:rPr>
        <w:t xml:space="preserve">, з одного боку, та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rtl w:val="0"/>
        </w:rPr>
        <w:t xml:space="preserve">Менська міська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rtl w:val="0"/>
        </w:rPr>
        <w:t xml:space="preserve">рада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rtl w:val="0"/>
        </w:rPr>
        <w:t xml:space="preserve"> в особі секретаря Менської міської ради Юрія СТАЛЬНИЧЕНКА, який діє 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rtl w:val="0"/>
        </w:rPr>
        <w:t xml:space="preserve"> підставі пунктів 14, 16 частини 4 статті 42, частин 1, 3 статті 15, пунктів 21, 43 частини 1 статті 26, статей 42 Закону України «Про місцеве самоврядування в Україні» та статей 1, 3, 4, 16 Закону України «Про асоціації органів місцевого самоврядування», </w:t>
      </w:r>
      <w:r>
        <w:rPr>
          <w:rFonts w:ascii="Times New Roman" w:hAnsi="Times New Roman" w:eastAsia="Times New Roman" w:cs="Times New Roman"/>
          <w:i/>
          <w:color w:val="000000"/>
          <w:sz w:val="26"/>
          <w:szCs w:val="26"/>
          <w:rtl w:val="0"/>
        </w:rPr>
        <w:t xml:space="preserve">(далі – Рада)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rtl w:val="0"/>
        </w:rPr>
        <w:t xml:space="preserve"> з іншого боку, разом далі іменовані – Сторони, уклали цей Меморандум про намір вступу до Місцевої асоціації органів місцевого самоврядування «Асоціація прифронтових міст та громад» (далі – Меморандум) про таке: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color w:val="000000" w:themeColor="text1"/>
          <w:sz w:val="26"/>
          <w:szCs w:val="26"/>
        </w:rPr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Style w:val="887"/>
        <w:numPr>
          <w:ilvl w:val="0"/>
          <w:numId w:val="3"/>
        </w:numPr>
        <w:pBdr/>
        <w:spacing w:after="0" w:line="233" w:lineRule="auto"/>
        <w:ind/>
        <w:contextualSpacing w:val="false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ПРЕДМЕТ ТА МЕТА МЕМОРАНДУМУ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</w:p>
    <w:p>
      <w:pPr>
        <w:pBdr/>
        <w:spacing w:line="233" w:lineRule="auto"/>
        <w:ind w:left="36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</w:r>
      <w:r>
        <w:rPr>
          <w:b/>
          <w:bCs/>
          <w:color w:val="000000" w:themeColor="text1"/>
          <w:sz w:val="26"/>
          <w:szCs w:val="26"/>
        </w:rPr>
      </w:r>
      <w:r>
        <w:rPr>
          <w:b/>
          <w:bCs/>
          <w:color w:val="000000" w:themeColor="text1"/>
          <w:sz w:val="26"/>
          <w:szCs w:val="26"/>
        </w:rPr>
      </w:r>
    </w:p>
    <w:p>
      <w:pPr>
        <w:pBdr/>
        <w:spacing w:line="233" w:lineRule="auto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  Сторони з метою більш ефективного здійснення повноважень органів місцевого самоврядування, узгодження їх дій щодо захисту прав та інтересів територіальних громад, сприяння місцевому та регіональному розвитку прифронтових міст та громад, ро</w:t>
      </w:r>
      <w:r>
        <w:rPr>
          <w:color w:val="000000" w:themeColor="text1"/>
          <w:sz w:val="26"/>
          <w:szCs w:val="26"/>
        </w:rPr>
        <w:t xml:space="preserve">зв’язання спільних для територіальних громад проблем, зокрема щодо їх підтримки, відновлення та інвестиційного розвитку, усвідомлюючи важливість поставленої мети, шляхом підписання цього Меморандуму підтверджують спільні наміри щодо вступу та прийняття Рад</w:t>
      </w:r>
      <w:r>
        <w:rPr>
          <w:color w:val="000000" w:themeColor="text1"/>
          <w:sz w:val="26"/>
          <w:szCs w:val="26"/>
        </w:rPr>
        <w:t xml:space="preserve">и</w:t>
      </w:r>
      <w:r>
        <w:rPr>
          <w:color w:val="000000" w:themeColor="text1"/>
          <w:sz w:val="26"/>
          <w:szCs w:val="26"/>
        </w:rPr>
        <w:t xml:space="preserve"> до членів Асоціації.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Bdr/>
        <w:spacing w:line="233" w:lineRule="auto"/>
        <w:ind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87"/>
        <w:numPr>
          <w:ilvl w:val="0"/>
          <w:numId w:val="3"/>
        </w:numPr>
        <w:pBdr/>
        <w:spacing w:after="0" w:line="233" w:lineRule="auto"/>
        <w:ind/>
        <w:contextualSpacing w:val="false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НАМІРИ ТА ЗОБОВ’ЯЗАННЯ СТОРІН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Bdr/>
        <w:spacing w:line="233" w:lineRule="auto"/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Bdr/>
        <w:spacing w:line="233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  Рад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шляхом підписання цього Меморандуму висловлю</w:t>
      </w:r>
      <w:r>
        <w:rPr>
          <w:sz w:val="26"/>
          <w:szCs w:val="26"/>
        </w:rPr>
        <w:t xml:space="preserve">є</w:t>
      </w:r>
      <w:r>
        <w:rPr>
          <w:sz w:val="26"/>
          <w:szCs w:val="26"/>
        </w:rPr>
        <w:t xml:space="preserve"> намір вступити до Асоціації, бути її </w:t>
      </w:r>
      <w:r>
        <w:rPr>
          <w:sz w:val="26"/>
          <w:szCs w:val="26"/>
        </w:rPr>
        <w:t xml:space="preserve">членам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та брати участь у її діяльності відповідно до її Статуту.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line="233" w:lineRule="auto"/>
        <w:ind w:firstLine="567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2.2.  Рад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зобов’язу</w:t>
      </w:r>
      <w:r>
        <w:rPr>
          <w:sz w:val="26"/>
          <w:szCs w:val="26"/>
        </w:rPr>
        <w:t xml:space="preserve">є</w:t>
      </w:r>
      <w:r>
        <w:rPr>
          <w:sz w:val="26"/>
          <w:szCs w:val="26"/>
        </w:rPr>
        <w:t xml:space="preserve">ться після подання їх представником заяв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про вступ до Місцевої асоціації органів місцевого самоврядування «Асоціація прифронтових міст та громад» і підписання цього Меморандуму на сво</w:t>
      </w:r>
      <w:r>
        <w:rPr>
          <w:sz w:val="26"/>
          <w:szCs w:val="26"/>
        </w:rPr>
        <w:t xml:space="preserve">єму</w:t>
      </w:r>
      <w:r>
        <w:rPr>
          <w:sz w:val="26"/>
          <w:szCs w:val="26"/>
        </w:rPr>
        <w:t xml:space="preserve"> пленарн</w:t>
      </w:r>
      <w:r>
        <w:rPr>
          <w:sz w:val="26"/>
          <w:szCs w:val="26"/>
        </w:rPr>
        <w:t xml:space="preserve">ому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засіданн</w:t>
      </w:r>
      <w:r>
        <w:rPr>
          <w:color w:val="000000" w:themeColor="text1"/>
          <w:sz w:val="26"/>
          <w:szCs w:val="26"/>
        </w:rPr>
        <w:t xml:space="preserve">і</w:t>
      </w:r>
      <w:r>
        <w:rPr>
          <w:color w:val="000000" w:themeColor="text1"/>
          <w:sz w:val="26"/>
          <w:szCs w:val="26"/>
        </w:rPr>
        <w:t xml:space="preserve"> прийняти рішення про затвердження цього Меморандуму та про вступ до Місцевої асоціації органів місцевого самоврядування «Асоціація прифронтових міст та громад», а також надіслати копію так</w:t>
      </w:r>
      <w:r>
        <w:rPr>
          <w:color w:val="000000" w:themeColor="text1"/>
          <w:sz w:val="26"/>
          <w:szCs w:val="26"/>
        </w:rPr>
        <w:t xml:space="preserve">ого</w:t>
      </w:r>
      <w:r>
        <w:rPr>
          <w:color w:val="000000" w:themeColor="text1"/>
          <w:sz w:val="26"/>
          <w:szCs w:val="26"/>
        </w:rPr>
        <w:t xml:space="preserve"> рішен</w:t>
      </w:r>
      <w:r>
        <w:rPr>
          <w:color w:val="000000" w:themeColor="text1"/>
          <w:sz w:val="26"/>
          <w:szCs w:val="26"/>
        </w:rPr>
        <w:t xml:space="preserve">ня</w:t>
      </w:r>
      <w:r>
        <w:rPr>
          <w:color w:val="000000" w:themeColor="text1"/>
          <w:sz w:val="26"/>
          <w:szCs w:val="26"/>
        </w:rPr>
        <w:t xml:space="preserve">, засвідчену печаткою </w:t>
      </w:r>
      <w:r>
        <w:rPr>
          <w:sz w:val="26"/>
          <w:szCs w:val="26"/>
        </w:rPr>
        <w:t xml:space="preserve">відповідної ради, </w:t>
      </w:r>
      <w:r>
        <w:rPr>
          <w:color w:val="000000" w:themeColor="text1"/>
          <w:sz w:val="26"/>
          <w:szCs w:val="26"/>
        </w:rPr>
        <w:t xml:space="preserve">на адресу Асоціації.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Bdr/>
        <w:spacing w:line="233" w:lineRule="auto"/>
        <w:ind w:firstLine="567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  Асоціація зобов’язуються сприяти включенню Рад</w:t>
      </w:r>
      <w:r>
        <w:rPr>
          <w:color w:val="000000" w:themeColor="text1"/>
          <w:sz w:val="26"/>
          <w:szCs w:val="26"/>
        </w:rPr>
        <w:t xml:space="preserve">и</w:t>
      </w:r>
      <w:r>
        <w:rPr>
          <w:color w:val="000000" w:themeColor="text1"/>
          <w:sz w:val="26"/>
          <w:szCs w:val="26"/>
        </w:rPr>
        <w:t xml:space="preserve"> до складу членів Асоціації у порядку, визначеному її Статутом, зокрема: після розгляду заяв</w:t>
      </w:r>
      <w:r>
        <w:rPr>
          <w:color w:val="000000" w:themeColor="text1"/>
          <w:sz w:val="26"/>
          <w:szCs w:val="26"/>
        </w:rPr>
        <w:t xml:space="preserve">и</w:t>
      </w:r>
      <w:r>
        <w:rPr>
          <w:color w:val="000000" w:themeColor="text1"/>
          <w:sz w:val="26"/>
          <w:szCs w:val="26"/>
        </w:rPr>
        <w:t xml:space="preserve"> про вступ до Місцевої асоціації органів місцевого самоврядування «Асоціація прифронтових міст та громад» та підписання цього Меморандуму ухвалити рішення про прийняття </w:t>
      </w:r>
      <w:r>
        <w:rPr>
          <w:sz w:val="26"/>
          <w:szCs w:val="26"/>
        </w:rPr>
        <w:t xml:space="preserve">до членів Асоціації на засіданні Правління Асоціації.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line="233" w:lineRule="auto"/>
        <w:ind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line="233" w:lineRule="auto"/>
        <w:ind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line="233" w:lineRule="auto"/>
        <w:ind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7"/>
        <w:numPr>
          <w:ilvl w:val="0"/>
          <w:numId w:val="3"/>
        </w:numPr>
        <w:pBdr/>
        <w:spacing w:after="0" w:line="233" w:lineRule="auto"/>
        <w:ind/>
        <w:contextualSpacing w:val="false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ЗАГАЛЬНІ ПОЛОЖЕННЯ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Bdr/>
        <w:spacing w:line="233" w:lineRule="auto"/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Bdr/>
        <w:spacing w:line="233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  Цей Меморандум відображає наміри Сторін та не створює для них фінансових та/або майнових зобов’язань, окрім зобов’язань щодо вступу та прийняття до членів Асоціації, передбачених чинним законодавством та Статутом Асоціації.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line="233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3.2.  </w:t>
      </w:r>
      <w:r>
        <w:rPr>
          <w:color w:val="000000" w:themeColor="text1"/>
          <w:sz w:val="26"/>
          <w:szCs w:val="26"/>
        </w:rPr>
        <w:t xml:space="preserve">Після прийняття й </w:t>
      </w:r>
      <w:r>
        <w:rPr>
          <w:sz w:val="26"/>
          <w:szCs w:val="26"/>
        </w:rPr>
        <w:t xml:space="preserve">надіслання Рад</w:t>
      </w:r>
      <w:r>
        <w:rPr>
          <w:sz w:val="26"/>
          <w:szCs w:val="26"/>
        </w:rPr>
        <w:t xml:space="preserve">ою</w:t>
      </w:r>
      <w:r>
        <w:rPr>
          <w:sz w:val="26"/>
          <w:szCs w:val="26"/>
        </w:rPr>
        <w:t xml:space="preserve"> відповідн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рішен</w:t>
      </w:r>
      <w:r>
        <w:rPr>
          <w:color w:val="000000" w:themeColor="text1"/>
          <w:sz w:val="26"/>
          <w:szCs w:val="26"/>
        </w:rPr>
        <w:t xml:space="preserve">ня</w:t>
      </w:r>
      <w:r>
        <w:rPr>
          <w:color w:val="000000" w:themeColor="text1"/>
          <w:sz w:val="26"/>
          <w:szCs w:val="26"/>
        </w:rPr>
        <w:t xml:space="preserve"> та ухвалення </w:t>
      </w:r>
      <w:r>
        <w:rPr>
          <w:sz w:val="26"/>
          <w:szCs w:val="26"/>
        </w:rPr>
        <w:t xml:space="preserve">Правлінням Асоціації рішення про прийняття до членів Асоціації відповідн</w:t>
      </w:r>
      <w:r>
        <w:rPr>
          <w:sz w:val="26"/>
          <w:szCs w:val="26"/>
        </w:rPr>
        <w:t xml:space="preserve">ої</w:t>
      </w:r>
      <w:r>
        <w:rPr>
          <w:sz w:val="26"/>
          <w:szCs w:val="26"/>
        </w:rPr>
        <w:t xml:space="preserve"> Рад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порядку, передбаченому Статутом Асоціації, Рад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набува</w:t>
      </w:r>
      <w:r>
        <w:rPr>
          <w:sz w:val="26"/>
          <w:szCs w:val="26"/>
        </w:rPr>
        <w:t xml:space="preserve">є</w:t>
      </w:r>
      <w:r>
        <w:rPr>
          <w:sz w:val="26"/>
          <w:szCs w:val="26"/>
        </w:rPr>
        <w:t xml:space="preserve"> статусу члена Асоціації.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line="233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3.3.  </w:t>
      </w:r>
      <w:r>
        <w:rPr>
          <w:color w:val="000000" w:themeColor="text1"/>
          <w:sz w:val="26"/>
          <w:szCs w:val="26"/>
        </w:rPr>
        <w:t xml:space="preserve">Цей Меморандум складено українською мовою у двох примірниках, що мають однакову юридичну силу, по одному примірнику для кожної Сторони.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line="233" w:lineRule="auto"/>
        <w:ind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7"/>
        <w:numPr>
          <w:ilvl w:val="0"/>
          <w:numId w:val="3"/>
        </w:numPr>
        <w:pBdr/>
        <w:spacing w:after="0" w:line="233" w:lineRule="auto"/>
        <w:ind/>
        <w:contextualSpacing w:val="false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РЕКВІЗИТИ ТА ПІДПИСИ СТОРІН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Bdr/>
        <w:spacing/>
        <w:ind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tbl>
      <w:tblPr>
        <w:tblStyle w:val="89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>
        <w:trPr/>
        <w:tc>
          <w:tcPr>
            <w:tcBorders/>
            <w:tcW w:w="4814" w:type="dxa"/>
            <w:textDirection w:val="lrTb"/>
            <w:noWrap w:val="false"/>
          </w:tcPr>
          <w:p>
            <w:pPr>
              <w:pBdr/>
              <w:spacing w:line="230" w:lineRule="auto"/>
              <w:ind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МІСЦЕВА АСОЦІАЦІЯ ОРГАНІВ МІСЦЕВОГО САМОВРЯДУВАННЯ «АСОЦІАЦІЯ ПРИФРОНТОВИХ МІСТ ТА ГРОМАД»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pBdr/>
              <w:spacing w:line="230" w:lineRule="auto"/>
              <w:ind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pBdr/>
              <w:spacing w:line="230" w:lineRule="auto"/>
              <w:ind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Місцезнаходження: Україна, 61003, Харківська обл., місто Харків, </w:t>
            </w:r>
            <w:r>
              <w:rPr>
                <w:sz w:val="26"/>
                <w:szCs w:val="26"/>
              </w:rPr>
              <w:br/>
              <w:t xml:space="preserve">вул</w:t>
            </w:r>
            <w:r>
              <w:rPr>
                <w:color w:val="000000" w:themeColor="text1"/>
                <w:sz w:val="26"/>
                <w:szCs w:val="26"/>
              </w:rPr>
              <w:t xml:space="preserve">. Миколаївська, буд. 12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Bdr/>
              <w:spacing w:line="230" w:lineRule="auto"/>
              <w:ind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Код ЄДРПОУ: 46083837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Bdr/>
              <w:spacing w:line="230" w:lineRule="auto"/>
              <w:ind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Тел.: +38 097 044 00 45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Bdr/>
              <w:spacing w:line="230" w:lineRule="auto"/>
              <w:ind/>
              <w:rPr/>
            </w:pPr>
            <w:r>
              <w:rPr>
                <w:color w:val="000000" w:themeColor="text1"/>
                <w:sz w:val="26"/>
                <w:szCs w:val="26"/>
              </w:rPr>
              <w:t xml:space="preserve">Адреса електронної </w:t>
            </w:r>
            <w:r>
              <w:rPr>
                <w:sz w:val="26"/>
                <w:szCs w:val="26"/>
              </w:rPr>
              <w:t xml:space="preserve">пошти: </w:t>
            </w:r>
            <w:hyperlink r:id="rId10" w:tooltip="mailto:apmg@ukr.net" w:history="1">
              <w:r>
                <w:rPr>
                  <w:rStyle w:val="897"/>
                  <w:color w:val="auto"/>
                  <w:sz w:val="26"/>
                  <w:szCs w:val="26"/>
                  <w:u w:val="none"/>
                </w:rPr>
                <w:t xml:space="preserve">apmg@ukr.net</w:t>
              </w:r>
            </w:hyperlink>
            <w:r/>
            <w:r/>
          </w:p>
          <w:p>
            <w:pPr>
              <w:pBdr/>
              <w:spacing w:line="230" w:lineRule="auto"/>
              <w:ind/>
              <w:rPr/>
            </w:pPr>
            <w:r/>
            <w:r/>
          </w:p>
          <w:p>
            <w:pPr>
              <w:pBdr/>
              <w:spacing w:line="230" w:lineRule="auto"/>
              <w:ind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Голова Асоціації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pBdr/>
              <w:spacing w:line="230" w:lineRule="auto"/>
              <w:ind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br/>
              <w:t xml:space="preserve">___________________ /Ігор ТЕРЕХОВ/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pBdr/>
              <w:spacing w:line="230" w:lineRule="auto"/>
              <w:ind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/>
            <w:tcW w:w="4815" w:type="dxa"/>
            <w:textDirection w:val="lrTb"/>
            <w:noWrap w:val="false"/>
          </w:tcPr>
          <w:p>
            <w:pPr>
              <w:pBdr/>
              <w:spacing w:line="230" w:lineRule="auto"/>
              <w:ind/>
              <w:contextualSpacing w:val="true"/>
              <w:jc w:val="both"/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  <w:t xml:space="preserve">           </w:t>
            </w:r>
            <w:r>
              <w:rPr>
                <w:b/>
                <w:color w:val="000000"/>
                <w:sz w:val="26"/>
                <w:szCs w:val="26"/>
                <w:rtl w:val="0"/>
              </w:rPr>
              <w:t xml:space="preserve">М</w:t>
            </w:r>
            <w:r>
              <w:rPr>
                <w:b/>
                <w:sz w:val="26"/>
                <w:szCs w:val="26"/>
                <w:rtl w:val="0"/>
              </w:rPr>
              <w:t xml:space="preserve">ЕНСЬКА МІСЬКА РАДА</w:t>
            </w:r>
            <w:r/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</w:p>
          <w:p>
            <w:pPr>
              <w:pBdr/>
              <w:spacing w:line="230" w:lineRule="auto"/>
              <w:ind/>
              <w:contextualSpacing w:val="true"/>
              <w:jc w:val="both"/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</w:p>
          <w:p>
            <w:pPr>
              <w:pBdr/>
              <w:spacing w:line="230" w:lineRule="auto"/>
              <w:ind/>
              <w:contextualSpacing w:val="true"/>
              <w:jc w:val="both"/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</w:p>
          <w:p>
            <w:pPr>
              <w:pBdr/>
              <w:spacing w:line="230" w:lineRule="auto"/>
              <w:ind/>
              <w:contextualSpacing w:val="true"/>
              <w:jc w:val="both"/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</w:p>
          <w:p>
            <w:pPr>
              <w:pBdr/>
              <w:spacing w:line="230" w:lineRule="auto"/>
              <w:ind/>
              <w:contextualSpacing w:val="true"/>
              <w:jc w:val="both"/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both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Місцезнаходження: Україна, 15600, Чернігівська область, </w:t>
            </w:r>
            <w:r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  <w:r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both"/>
              <w:rPr>
                <w:bCs w:val="0"/>
                <w:i w:val="0"/>
                <w:smallCaps w:val="0"/>
                <w:strike w:val="0"/>
                <w:color w:val="000000"/>
                <w:sz w:val="26"/>
                <w:szCs w:val="26"/>
                <w:highlight w:val="none"/>
                <w:u w:val="none"/>
                <w:vertAlign w:val="baseline"/>
              </w:rPr>
            </w:pPr>
            <w:r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 w:val="0"/>
              </w:rPr>
              <w:t xml:space="preserve">м.Мена, вул. Героїв АТО, 6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rtl w:val="0"/>
              </w:rPr>
              <w:t xml:space="preserve">Код ЄДРПОУ:04061777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i w:val="0"/>
                <w:smallCaps w:val="0"/>
                <w:strike w:val="0"/>
                <w:color w:val="000000"/>
                <w:sz w:val="26"/>
                <w:szCs w:val="26"/>
                <w:highlight w:val="none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i w:val="0"/>
                <w:smallCaps w:val="0"/>
                <w:strike w:val="0"/>
                <w:color w:val="000000"/>
                <w:sz w:val="26"/>
                <w:szCs w:val="26"/>
                <w:highlight w:val="none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rtl w:val="0"/>
              </w:rPr>
              <w:t xml:space="preserve">Тел.:+38</w:t>
            </w:r>
            <w:r>
              <w:rPr>
                <w:sz w:val="26"/>
                <w:szCs w:val="26"/>
                <w:rtl w:val="0"/>
              </w:rPr>
              <w:t xml:space="preserve">(099)0033130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rtl w:val="0"/>
              </w:rPr>
              <w:t xml:space="preserve">адреса електронної пошти: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Bdr/>
              <w:spacing/>
              <w:ind/>
              <w:rPr>
                <w:sz w:val="25"/>
                <w:szCs w:val="25"/>
              </w:rPr>
            </w:pPr>
            <w:r>
              <w:rPr>
                <w:sz w:val="25"/>
                <w:szCs w:val="25"/>
                <w:rtl w:val="0"/>
              </w:rPr>
              <w:t xml:space="preserve">miskradamena@cg.gov.ua</w:t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  <w:p>
            <w:pPr>
              <w:pBdr/>
              <w:spacing w:line="230" w:lineRule="auto"/>
              <w:ind/>
              <w:contextualSpacing w:val="true"/>
              <w:jc w:val="both"/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</w:p>
          <w:p>
            <w:pPr>
              <w:pBdr/>
              <w:spacing/>
              <w:ind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Секретар ради</w:t>
            </w:r>
            <w:r>
              <w:rPr>
                <w:b/>
                <w:color w:val="000000"/>
                <w:sz w:val="26"/>
                <w:szCs w:val="26"/>
                <w:rtl w:val="0"/>
              </w:rPr>
              <w:br/>
              <w:t xml:space="preserve">__________ /Юрій СТАЛЬНИЧЕНКО/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  <w:p>
            <w:pPr>
              <w:pBdr/>
              <w:spacing w:line="230" w:lineRule="auto"/>
              <w:ind/>
              <w:contextualSpacing w:val="true"/>
              <w:jc w:val="both"/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  <w:r>
              <w:rPr>
                <w:rFonts w:eastAsiaTheme="minorHAnsi"/>
                <w:b/>
                <w:bCs/>
                <w:sz w:val="26"/>
                <w:szCs w:val="26"/>
                <w:lang w:val="ru-RU"/>
              </w:rPr>
            </w:r>
          </w:p>
        </w:tc>
      </w:tr>
    </w:tbl>
    <w:p>
      <w:pPr>
        <w:pBdr/>
        <w:spacing/>
        <w:ind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sectPr>
      <w:footerReference w:type="default" r:id="rId9"/>
      <w:footnotePr/>
      <w:endnotePr/>
      <w:type w:val="nextPage"/>
      <w:pgSz w:h="16838" w:orient="portrait" w:w="11906"/>
      <w:pgMar w:top="709" w:right="566" w:bottom="851" w:left="1417" w:header="708" w:footer="251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2412849"/>
      <w:docPartObj>
        <w:docPartGallery w:val="Page Numbers (Bottom of Page)"/>
        <w:docPartUnique w:val="true"/>
      </w:docPartObj>
      <w:rPr/>
    </w:sdtPr>
    <w:sdtContent>
      <w:p>
        <w:pPr>
          <w:pStyle w:val="895"/>
          <w:pBdr/>
          <w:spacing/>
          <w:ind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  <w:p>
        <w:pPr>
          <w:pStyle w:val="895"/>
          <w:pBdr/>
          <w:spacing/>
          <w:ind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 xml:space="preserve">7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89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69"/>
      </w:pPr>
      <w:rPr>
        <w:rFonts w:hint="default"/>
        <w:b w:val="0"/>
        <w:bCs w:val="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77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2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18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89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243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4952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57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4">
    <w:name w:val="Table Grid Light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9">
    <w:name w:val="Heading 1 Char"/>
    <w:basedOn w:val="869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0">
    <w:name w:val="Heading 2 Char"/>
    <w:basedOn w:val="869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1">
    <w:name w:val="Heading 3 Char"/>
    <w:basedOn w:val="869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2">
    <w:name w:val="Heading 4 Char"/>
    <w:basedOn w:val="869"/>
    <w:link w:val="8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3">
    <w:name w:val="Heading 5 Char"/>
    <w:basedOn w:val="869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4">
    <w:name w:val="Heading 6 Char"/>
    <w:basedOn w:val="869"/>
    <w:link w:val="8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5">
    <w:name w:val="Heading 7 Char"/>
    <w:basedOn w:val="869"/>
    <w:link w:val="8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6">
    <w:name w:val="Heading 8 Char"/>
    <w:basedOn w:val="86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7">
    <w:name w:val="Heading 9 Char"/>
    <w:basedOn w:val="869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8">
    <w:name w:val="Title Char"/>
    <w:basedOn w:val="869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9">
    <w:name w:val="Subtitle Char"/>
    <w:basedOn w:val="869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0">
    <w:name w:val="Quote Char"/>
    <w:basedOn w:val="869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1">
    <w:name w:val="Intense Quote Char"/>
    <w:basedOn w:val="869"/>
    <w:link w:val="889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42">
    <w:name w:val="No Spacing"/>
    <w:basedOn w:val="859"/>
    <w:uiPriority w:val="1"/>
    <w:qFormat/>
    <w:pPr>
      <w:pBdr/>
      <w:spacing w:after="0" w:line="240" w:lineRule="auto"/>
      <w:ind/>
    </w:pPr>
  </w:style>
  <w:style w:type="character" w:styleId="843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4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45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846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7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8">
    <w:name w:val="Header Char"/>
    <w:basedOn w:val="869"/>
    <w:link w:val="893"/>
    <w:uiPriority w:val="99"/>
    <w:pPr>
      <w:pBdr/>
      <w:spacing/>
      <w:ind/>
    </w:pPr>
  </w:style>
  <w:style w:type="character" w:styleId="849">
    <w:name w:val="Footer Char"/>
    <w:basedOn w:val="869"/>
    <w:link w:val="895"/>
    <w:uiPriority w:val="99"/>
    <w:pPr>
      <w:pBdr/>
      <w:spacing/>
      <w:ind/>
    </w:pPr>
  </w:style>
  <w:style w:type="paragraph" w:styleId="850">
    <w:name w:val="Caption"/>
    <w:basedOn w:val="859"/>
    <w:next w:val="8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1">
    <w:name w:val="footnote text"/>
    <w:basedOn w:val="859"/>
    <w:link w:val="8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2">
    <w:name w:val="Footnote Text Char"/>
    <w:basedOn w:val="869"/>
    <w:link w:val="851"/>
    <w:uiPriority w:val="99"/>
    <w:semiHidden/>
    <w:pPr>
      <w:pBdr/>
      <w:spacing/>
      <w:ind/>
    </w:pPr>
    <w:rPr>
      <w:sz w:val="20"/>
      <w:szCs w:val="20"/>
    </w:rPr>
  </w:style>
  <w:style w:type="character" w:styleId="853">
    <w:name w:val="foot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854">
    <w:name w:val="endnote text"/>
    <w:basedOn w:val="859"/>
    <w:link w:val="8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5">
    <w:name w:val="Endnote Text Char"/>
    <w:basedOn w:val="869"/>
    <w:link w:val="854"/>
    <w:uiPriority w:val="99"/>
    <w:semiHidden/>
    <w:pPr>
      <w:pBdr/>
      <w:spacing/>
      <w:ind/>
    </w:pPr>
    <w:rPr>
      <w:sz w:val="20"/>
      <w:szCs w:val="20"/>
    </w:rPr>
  </w:style>
  <w:style w:type="character" w:styleId="856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857">
    <w:name w:val="TOC Heading"/>
    <w:uiPriority w:val="39"/>
    <w:unhideWhenUsed/>
    <w:pPr>
      <w:pBdr/>
      <w:spacing/>
      <w:ind/>
    </w:pPr>
  </w:style>
  <w:style w:type="paragraph" w:styleId="858">
    <w:name w:val="table of figures"/>
    <w:basedOn w:val="859"/>
    <w:next w:val="859"/>
    <w:uiPriority w:val="99"/>
    <w:unhideWhenUsed/>
    <w:pPr>
      <w:pBdr/>
      <w:spacing w:after="0" w:afterAutospacing="0"/>
      <w:ind/>
    </w:pPr>
  </w:style>
  <w:style w:type="paragraph" w:styleId="859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eastAsia="ru-RU"/>
      <w14:ligatures w14:val="none"/>
    </w:rPr>
  </w:style>
  <w:style w:type="paragraph" w:styleId="860">
    <w:name w:val="Heading 1"/>
    <w:basedOn w:val="859"/>
    <w:next w:val="859"/>
    <w:link w:val="872"/>
    <w:uiPriority w:val="9"/>
    <w:qFormat/>
    <w:pPr>
      <w:keepNext w:val="true"/>
      <w:keepLines w:val="true"/>
      <w:pBdr/>
      <w:spacing w:after="80" w:before="360" w:line="278" w:lineRule="auto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861">
    <w:name w:val="Heading 2"/>
    <w:basedOn w:val="859"/>
    <w:next w:val="859"/>
    <w:link w:val="873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862">
    <w:name w:val="Heading 3"/>
    <w:basedOn w:val="859"/>
    <w:next w:val="859"/>
    <w:link w:val="874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863">
    <w:name w:val="Heading 4"/>
    <w:basedOn w:val="859"/>
    <w:next w:val="859"/>
    <w:link w:val="875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864">
    <w:name w:val="Heading 5"/>
    <w:basedOn w:val="859"/>
    <w:next w:val="859"/>
    <w:link w:val="876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4"/>
    </w:pPr>
    <w:rPr>
      <w:rFonts w:asciiTheme="minorHAnsi" w:hAnsiTheme="minorHAnsi" w:eastAsiaTheme="majorEastAsia" w:cstheme="majorBidi"/>
      <w:color w:val="0f4761" w:themeColor="accent1" w:themeShade="BF"/>
      <w:lang w:eastAsia="en-US"/>
      <w14:ligatures w14:val="standardContextual"/>
    </w:rPr>
  </w:style>
  <w:style w:type="paragraph" w:styleId="865">
    <w:name w:val="Heading 6"/>
    <w:basedOn w:val="859"/>
    <w:next w:val="859"/>
    <w:link w:val="877"/>
    <w:uiPriority w:val="9"/>
    <w:semiHidden/>
    <w:unhideWhenUsed/>
    <w:qFormat/>
    <w:pPr>
      <w:keepNext w:val="true"/>
      <w:keepLines w:val="true"/>
      <w:pBdr/>
      <w:spacing w:before="40" w:line="278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866">
    <w:name w:val="Heading 7"/>
    <w:basedOn w:val="859"/>
    <w:next w:val="859"/>
    <w:link w:val="878"/>
    <w:uiPriority w:val="9"/>
    <w:semiHidden/>
    <w:unhideWhenUsed/>
    <w:qFormat/>
    <w:pPr>
      <w:keepNext w:val="true"/>
      <w:keepLines w:val="true"/>
      <w:pBdr/>
      <w:spacing w:before="40" w:line="278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867">
    <w:name w:val="Heading 8"/>
    <w:basedOn w:val="859"/>
    <w:next w:val="859"/>
    <w:link w:val="879"/>
    <w:uiPriority w:val="9"/>
    <w:semiHidden/>
    <w:unhideWhenUsed/>
    <w:qFormat/>
    <w:pPr>
      <w:keepNext w:val="true"/>
      <w:keepLines w:val="true"/>
      <w:pBdr/>
      <w:spacing w:line="278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868">
    <w:name w:val="Heading 9"/>
    <w:basedOn w:val="859"/>
    <w:next w:val="859"/>
    <w:link w:val="880"/>
    <w:uiPriority w:val="9"/>
    <w:semiHidden/>
    <w:unhideWhenUsed/>
    <w:qFormat/>
    <w:pPr>
      <w:keepNext w:val="true"/>
      <w:keepLines w:val="true"/>
      <w:pBdr/>
      <w:spacing w:line="278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eastAsia="en-US"/>
      <w14:ligatures w14:val="standardContextual"/>
    </w:r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table" w:styleId="8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1" w:default="1">
    <w:name w:val="No List"/>
    <w:uiPriority w:val="99"/>
    <w:semiHidden/>
    <w:unhideWhenUsed/>
    <w:pPr>
      <w:pBdr/>
      <w:spacing/>
      <w:ind/>
    </w:pPr>
  </w:style>
  <w:style w:type="character" w:styleId="872" w:customStyle="1">
    <w:name w:val="Заголовок 1 Знак"/>
    <w:basedOn w:val="869"/>
    <w:link w:val="860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73" w:customStyle="1">
    <w:name w:val="Заголовок 2 Знак"/>
    <w:basedOn w:val="869"/>
    <w:link w:val="86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74" w:customStyle="1">
    <w:name w:val="Заголовок 3 Знак"/>
    <w:basedOn w:val="869"/>
    <w:link w:val="862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875" w:customStyle="1">
    <w:name w:val="Заголовок 4 Знак"/>
    <w:basedOn w:val="869"/>
    <w:link w:val="863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876" w:customStyle="1">
    <w:name w:val="Заголовок 5 Знак"/>
    <w:basedOn w:val="869"/>
    <w:link w:val="864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877" w:customStyle="1">
    <w:name w:val="Заголовок 6 Знак"/>
    <w:basedOn w:val="869"/>
    <w:link w:val="865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78" w:customStyle="1">
    <w:name w:val="Заголовок 7 Знак"/>
    <w:basedOn w:val="869"/>
    <w:link w:val="86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79" w:customStyle="1">
    <w:name w:val="Заголовок 8 Знак"/>
    <w:basedOn w:val="869"/>
    <w:link w:val="867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80" w:customStyle="1">
    <w:name w:val="Заголовок 9 Знак"/>
    <w:basedOn w:val="869"/>
    <w:link w:val="868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81">
    <w:name w:val="Title"/>
    <w:basedOn w:val="859"/>
    <w:next w:val="859"/>
    <w:link w:val="882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eastAsia="en-US"/>
      <w14:ligatures w14:val="standardContextual"/>
    </w:rPr>
  </w:style>
  <w:style w:type="character" w:styleId="882" w:customStyle="1">
    <w:name w:val="Заголовок Знак"/>
    <w:basedOn w:val="869"/>
    <w:link w:val="881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83">
    <w:name w:val="Subtitle"/>
    <w:basedOn w:val="859"/>
    <w:next w:val="859"/>
    <w:link w:val="884"/>
    <w:uiPriority w:val="11"/>
    <w:qFormat/>
    <w:pPr>
      <w:numPr>
        <w:ilvl w:val="1"/>
      </w:numPr>
      <w:pBdr/>
      <w:spacing w:after="160" w:line="278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styleId="884" w:customStyle="1">
    <w:name w:val="Подзаголовок Знак"/>
    <w:basedOn w:val="869"/>
    <w:link w:val="883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85">
    <w:name w:val="Quote"/>
    <w:basedOn w:val="859"/>
    <w:next w:val="859"/>
    <w:link w:val="886"/>
    <w:uiPriority w:val="29"/>
    <w:qFormat/>
    <w:pPr>
      <w:pBdr/>
      <w:spacing w:after="160" w:before="160" w:line="278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styleId="886" w:customStyle="1">
    <w:name w:val="Цитата 2 Знак"/>
    <w:basedOn w:val="869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7">
    <w:name w:val="List Paragraph"/>
    <w:basedOn w:val="859"/>
    <w:uiPriority w:val="34"/>
    <w:qFormat/>
    <w:pPr>
      <w:pBdr/>
      <w:spacing w:after="160" w:line="278" w:lineRule="auto"/>
      <w:ind w:left="720"/>
      <w:contextualSpacing w:val="true"/>
    </w:pPr>
    <w:rPr>
      <w:rFonts w:asciiTheme="minorHAnsi" w:hAnsiTheme="minorHAnsi" w:eastAsiaTheme="minorHAnsi" w:cstheme="minorBidi"/>
      <w:lang w:eastAsia="en-US"/>
      <w14:ligatures w14:val="standardContextual"/>
    </w:rPr>
  </w:style>
  <w:style w:type="character" w:styleId="888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9">
    <w:name w:val="Intense Quote"/>
    <w:basedOn w:val="859"/>
    <w:next w:val="859"/>
    <w:link w:val="89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78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styleId="890" w:customStyle="1">
    <w:name w:val="Выделенная цитата Знак"/>
    <w:basedOn w:val="869"/>
    <w:link w:val="88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1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table" w:styleId="892">
    <w:name w:val="Table Grid"/>
    <w:basedOn w:val="87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er"/>
    <w:basedOn w:val="859"/>
    <w:link w:val="894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  <w:rPr>
      <w:rFonts w:asciiTheme="minorHAnsi" w:hAnsiTheme="minorHAnsi" w:eastAsiaTheme="minorHAnsi" w:cstheme="minorBidi"/>
      <w:lang w:eastAsia="en-US"/>
      <w14:ligatures w14:val="standardContextual"/>
    </w:rPr>
  </w:style>
  <w:style w:type="character" w:styleId="894" w:customStyle="1">
    <w:name w:val="Верхний колонтитул Знак"/>
    <w:basedOn w:val="869"/>
    <w:link w:val="893"/>
    <w:uiPriority w:val="99"/>
    <w:pPr>
      <w:pBdr/>
      <w:spacing/>
      <w:ind/>
    </w:pPr>
  </w:style>
  <w:style w:type="paragraph" w:styleId="895">
    <w:name w:val="Footer"/>
    <w:basedOn w:val="859"/>
    <w:link w:val="896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  <w:rPr>
      <w:rFonts w:asciiTheme="minorHAnsi" w:hAnsiTheme="minorHAnsi" w:eastAsiaTheme="minorHAnsi" w:cstheme="minorBidi"/>
      <w:lang w:eastAsia="en-US"/>
      <w14:ligatures w14:val="standardContextual"/>
    </w:rPr>
  </w:style>
  <w:style w:type="character" w:styleId="896" w:customStyle="1">
    <w:name w:val="Нижний колонтитул Знак"/>
    <w:basedOn w:val="869"/>
    <w:link w:val="895"/>
    <w:uiPriority w:val="99"/>
    <w:pPr>
      <w:pBdr/>
      <w:spacing/>
      <w:ind/>
    </w:pPr>
  </w:style>
  <w:style w:type="character" w:styleId="897">
    <w:name w:val="Hyperlink"/>
    <w:basedOn w:val="869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898" w:customStyle="1">
    <w:name w:val="Неразрешенное упоминание1"/>
    <w:basedOn w:val="86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899">
    <w:name w:val="FollowedHyperlink"/>
    <w:basedOn w:val="869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900" w:customStyle="1">
    <w:name w:val="FR2"/>
    <w:pPr>
      <w:widowControl w:val="false"/>
      <w:pBdr/>
      <w:spacing w:after="0" w:line="240" w:lineRule="auto"/>
      <w:ind w:left="320"/>
      <w:jc w:val="center"/>
    </w:pPr>
    <w:rPr>
      <w:rFonts w:ascii="Times New Roman" w:hAnsi="Times New Roman" w:eastAsia="Times New Roman" w:cs="Times New Roman"/>
      <w:szCs w:val="20"/>
      <w:lang w:eastAsia="zh-C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apmg@ukr.ne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dc:description/>
  <cp:lastModifiedBy>Карпенко Тетяна Володимирівна</cp:lastModifiedBy>
  <cp:revision>300</cp:revision>
  <dcterms:created xsi:type="dcterms:W3CDTF">2025-09-23T20:02:00Z</dcterms:created>
  <dcterms:modified xsi:type="dcterms:W3CDTF">2025-10-28T13:24:01Z</dcterms:modified>
</cp:coreProperties>
</file>