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жовтня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288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1_848"/>
        <w:widowControl w:val="false"/>
        <w:pBdr/>
        <w:spacing w:after="0" w:afterAutospacing="0" w:before="0" w:beforeAutospacing="0"/>
        <w:ind w:right="12"/>
        <w:jc w:val="both"/>
        <w:rPr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У зв'язку з військовою агресією російської федерації проти України, розпочатою 24 лютого 2022 року, </w:t>
      </w:r>
      <w:r>
        <w:rPr>
          <w:bCs/>
          <w:sz w:val="28"/>
          <w:szCs w:val="28"/>
          <w:lang w:val="uk-UA" w:eastAsia="uk-UA"/>
        </w:rPr>
        <w:t xml:space="preserve">з метою с</w:t>
      </w:r>
      <w:r>
        <w:rPr>
          <w:sz w:val="28"/>
          <w:szCs w:val="28"/>
          <w:lang w:val="uk-UA"/>
        </w:rPr>
        <w:t xml:space="preserve">прияння у проведенні заходів щодо призову на військову службу, для організації роботи по </w:t>
      </w:r>
      <w:r>
        <w:rPr>
          <w:rStyle w:val="1_847"/>
          <w:sz w:val="28"/>
          <w:szCs w:val="28"/>
          <w:lang w:val="uk-UA"/>
        </w:rPr>
        <w:t xml:space="preserve">оповіщенню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військовозобов’язаних на території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 w:eastAsia="uk-UA"/>
        </w:rPr>
        <w:t xml:space="preserve"> відповідно до </w:t>
      </w:r>
      <w:r>
        <w:rPr>
          <w:rStyle w:val="1_847"/>
          <w:bCs/>
          <w:sz w:val="28"/>
          <w:szCs w:val="28"/>
          <w:lang w:val="uk-UA"/>
        </w:rPr>
        <w:t xml:space="preserve">Програми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Style w:val="1_847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в редакції затвердженій рішенням 59 сесії Менської міської ради 8 скликання </w:t>
      </w:r>
      <w:r>
        <w:rPr>
          <w:sz w:val="28"/>
          <w:szCs w:val="28"/>
          <w:shd w:val="clear" w:color="auto" w:fill="ffffff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24 березня 2025 року № 146</w:t>
      </w:r>
      <w:r>
        <w:rPr>
          <w:color w:val="000000"/>
          <w:sz w:val="28"/>
          <w:szCs w:val="28"/>
          <w:lang w:val="uk-UA"/>
        </w:rPr>
        <w:t xml:space="preserve">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  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рішення виконавчого комітету Менської міської ради «</w:t>
      </w:r>
      <w:r>
        <w:rPr>
          <w:color w:val="000000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30 вересня 2024 року № </w:t>
      </w:r>
      <w:r>
        <w:rPr>
          <w:color w:val="000000"/>
          <w:sz w:val="28"/>
          <w:szCs w:val="28"/>
          <w:lang w:val="uk-UA"/>
        </w:rPr>
        <w:t xml:space="preserve">205, розпорядження міського голови «Про призначення персонального складу відділень оповіщення і явки» </w:t>
      </w: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 xml:space="preserve">22</w:t>
      </w:r>
      <w:r>
        <w:rPr>
          <w:sz w:val="28"/>
          <w:szCs w:val="28"/>
          <w:lang w:val="uk-UA"/>
        </w:rPr>
        <w:t xml:space="preserve"> жовтня 2025 року № 286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та керуючись ст. 42, 50 Закону України «Про місцеве самоврядування в Україні», Законом України «Про правовий режим воєнного стану»: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7 жовтня 2025 року автомобіль ****, реєстраційний номер ****, що є комунальною власністю Менської міської територіальної громади та перебуває в 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Т.в.о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 директора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Шафаренко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 забезпечити надання транспортного засобу відповідно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1_847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3969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46"/>
        <w:pBdr/>
        <w:tabs>
          <w:tab w:val="left" w:leader="none" w:pos="567"/>
          <w:tab w:val="left" w:leader="none" w:pos="3969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1710"/>
    <w:basedOn w:val="70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7" w:customStyle="1">
    <w:name w:val="docdata"/>
    <w:basedOn w:val="71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2025-10-28T07:11:59Z</dcterms:modified>
</cp:coreProperties>
</file>