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жовтня 2025 року </w:t>
        <w:tab/>
        <w:t xml:space="preserve">м. Мена</w:t>
        <w:tab/>
        <w:t xml:space="preserve">№ 287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953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 затвердження  паспортів бюджетних програм по Менській міській раді на 2025 рік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листа №15-21/1860 від 13 жовтня 2025 року, розпорядження міського голови №280 від 15 жовтня 2025 року, рішення 66 сесії Менської міської ради 8 скликання №600 від 22 жовтня 2025 року, розпорядження міського голови №250 від 15 вересня 2025 рок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у, розпорядження КМУ №971-р від 10 вересня 2025 року,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повідомлення УДКСУ від 23.10.2025 року: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2025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567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85" w:left="567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 КПКВК  0110180 «Інша діяльність у сфері державного управління» (згідно додатку 2),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708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 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3),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708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 КПКВК 0116030 «Організація благоустрою населених пунктів» (згідно додатку 4),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708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0116040 «Заходи, пов’язані з поліпшенням питної води» (згідно додатку 5),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 КПКВК0117367</w:t>
      </w:r>
      <w:r>
        <w:rPr>
          <w:rFonts w:ascii="Calibri" w:hAnsi="Calibri" w:eastAsia="Calibri" w:cs="Calibri"/>
          <w:color w:val="333333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highlight w:val="white"/>
        </w:rPr>
        <w:t xml:space="preserve">«Реалізація проектів у рамках Програми відновлення України ІІІ»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(згідно додатку 6),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КПКВК0117461 «Утримання та розвиток автомобільних доріг та дорожньої інфраструктури за рахунок коштів місцевого бюджету» (згідно додатку 7),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0118110 «Заходи із запобігання та ліквідації надзвичайних ситуацій та наслідків стихійного лиха» (згідно додатку 8),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КПКВК0118130 «Забезпечення діяльності місцевої пожежної охорони» (згідно додатку 9),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0118230 « Інші заходи громадського порядку та безпеки» (згідно додатку 10).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2025-10-24T11:30:49Z</dcterms:modified>
</cp:coreProperties>
</file>