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2"/>
        <w:suppressLineNumbers w:val="false"/>
        <w:pBdr/>
        <w:spacing w:after="113" w:afterAutospacing="0" w:before="0"/>
        <w:ind w:right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МЕНСЬКА М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ІСЬКА РАДА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bidi="en-US"/>
        </w:rPr>
      </w:r>
    </w:p>
    <w:p>
      <w:pPr>
        <w:pStyle w:val="772"/>
        <w:suppressLineNumbers w:val="false"/>
        <w:pBdr/>
        <w:spacing w:after="113" w:afterAutospacing="0" w:before="0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Hlk82170484"/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шістдесят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шоста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сесія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 восьмого 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скликання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)</w:t>
      </w:r>
      <w:bookmarkEnd w:id="0"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72"/>
        <w:suppressLineNumbers w:val="false"/>
        <w:pBdr/>
        <w:spacing w:after="113" w:afterAutospacing="0" w:before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774"/>
        <w:suppressLineNumbers w:val="false"/>
        <w:pBdr/>
        <w:tabs>
          <w:tab w:val="left" w:leader="none" w:pos="4394"/>
          <w:tab w:val="left" w:leader="none" w:pos="7370"/>
        </w:tabs>
        <w:spacing w:after="113" w:afterAutospacing="0" w:before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жовтня</w:t>
      </w:r>
      <w:r>
        <w:rPr>
          <w:rFonts w:ascii="Times New Roman" w:hAnsi="Times New Roman" w:cs="Times New Roman"/>
          <w:sz w:val="28"/>
          <w:szCs w:val="28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м. Мена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614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pacing w:after="113" w:afterAutospacing="0"/>
        <w:ind w:right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функціонування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об'єкту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нерухомого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майна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кому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нальної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власності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в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умовах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воєнного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стану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955"/>
        <w:pBdr/>
        <w:spacing/>
        <w:ind w:right="-170" w:firstLine="567"/>
        <w:rPr>
          <w:b/>
          <w:bCs/>
          <w:color w:val="000000"/>
          <w:szCs w:val="28"/>
        </w:rPr>
      </w:pPr>
      <w:r>
        <w:rPr>
          <w:color w:val="000000"/>
        </w:rPr>
        <w:t xml:space="preserve">З метою забезпечення належного функціонування </w:t>
      </w:r>
      <w:r>
        <w:rPr>
          <w:bCs/>
          <w:color w:val="000000"/>
        </w:rPr>
        <w:t xml:space="preserve">об’єкту нерухомого майна (громадський будинок з господарськими (допоміжними) будівлями та спорудами) </w:t>
      </w:r>
      <w:r>
        <w:rPr>
          <w:color w:val="000000"/>
          <w:szCs w:val="28"/>
        </w:rPr>
        <w:t xml:space="preserve">за </w:t>
      </w:r>
      <w:r>
        <w:rPr>
          <w:color w:val="000000"/>
          <w:szCs w:val="28"/>
        </w:rPr>
        <w:t xml:space="preserve">адресою</w:t>
      </w:r>
      <w:r>
        <w:rPr>
          <w:color w:val="000000"/>
          <w:szCs w:val="28"/>
        </w:rPr>
        <w:t xml:space="preserve">: вулиця Зарічна, 11, селище </w:t>
      </w:r>
      <w:r>
        <w:rPr>
          <w:color w:val="000000"/>
          <w:szCs w:val="28"/>
        </w:rPr>
        <w:t xml:space="preserve">Макошине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Корюківського</w:t>
      </w:r>
      <w:r>
        <w:rPr>
          <w:color w:val="000000"/>
          <w:szCs w:val="28"/>
        </w:rPr>
        <w:t xml:space="preserve"> району Чернігівської області</w:t>
      </w:r>
      <w:r>
        <w:rPr>
          <w:color w:val="000000"/>
          <w:szCs w:val="28"/>
        </w:rPr>
        <w:t xml:space="preserve"> та можливості використання його в умовах воєнного стану,</w:t>
      </w:r>
      <w:bookmarkStart w:id="1" w:name="_GoBack"/>
      <w:r/>
      <w:bookmarkEnd w:id="1"/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керуючись ст. 26, 60 Закону України «Про місцеве самоврядування в Україні»</w:t>
      </w:r>
      <w:r>
        <w:rPr>
          <w:color w:val="000000"/>
        </w:rPr>
        <w:t xml:space="preserve"> Менська міська рада</w:t>
      </w:r>
      <w:r>
        <w:rPr>
          <w:b/>
          <w:bCs/>
          <w:color w:val="000000"/>
          <w:szCs w:val="28"/>
        </w:rPr>
      </w:r>
      <w:r>
        <w:rPr>
          <w:b/>
          <w:bCs/>
          <w:color w:val="000000"/>
          <w:szCs w:val="28"/>
        </w:rPr>
      </w:r>
    </w:p>
    <w:p>
      <w:pPr>
        <w:pStyle w:val="955"/>
        <w:pBdr/>
        <w:spacing/>
        <w:ind/>
        <w:rPr>
          <w:bCs/>
          <w:color w:val="000000"/>
        </w:rPr>
      </w:pPr>
      <w:r>
        <w:rPr>
          <w:bCs/>
          <w:color w:val="000000"/>
        </w:rPr>
        <w:t xml:space="preserve">ВИРІШИЛА: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955"/>
        <w:numPr>
          <w:ilvl w:val="0"/>
          <w:numId w:val="4"/>
        </w:numPr>
        <w:pBdr/>
        <w:tabs>
          <w:tab w:val="left" w:leader="none" w:pos="993"/>
        </w:tabs>
        <w:spacing/>
        <w:ind w:firstLine="567"/>
        <w:rPr>
          <w:bCs/>
          <w:color w:val="000000"/>
        </w:rPr>
      </w:pPr>
      <w:r>
        <w:rPr>
          <w:bCs/>
          <w:color w:val="000000"/>
        </w:rPr>
        <w:t xml:space="preserve">Припинити право оперативного управління Комунального некомерційного підприємства «</w:t>
      </w:r>
      <w:r>
        <w:rPr>
          <w:color w:val="000000"/>
          <w:szCs w:val="28"/>
        </w:rPr>
        <w:t xml:space="preserve">Менський центр первинної медико-санітарної допомоги</w:t>
      </w:r>
      <w:r>
        <w:rPr>
          <w:bCs/>
          <w:color w:val="000000"/>
        </w:rPr>
        <w:t xml:space="preserve">» Менської міської ради на </w:t>
      </w:r>
      <w:r>
        <w:rPr>
          <w:bCs/>
          <w:color w:val="000000"/>
        </w:rPr>
        <w:t xml:space="preserve">частину об’єкту нерухомого майна (</w:t>
      </w:r>
      <w:r>
        <w:rPr>
          <w:bCs/>
          <w:color w:val="000000"/>
        </w:rPr>
        <w:t xml:space="preserve">громадський будинок з господарськими (допоміжними) будівлями та спорудами</w:t>
      </w:r>
      <w:r>
        <w:rPr>
          <w:bCs/>
          <w:color w:val="000000"/>
        </w:rPr>
        <w:t xml:space="preserve">)</w:t>
      </w:r>
      <w:r>
        <w:rPr>
          <w:bCs/>
          <w:color w:val="000000"/>
        </w:rPr>
        <w:t xml:space="preserve"> </w:t>
      </w:r>
      <w:r>
        <w:rPr>
          <w:color w:val="000000"/>
          <w:szCs w:val="28"/>
        </w:rPr>
        <w:t xml:space="preserve">за </w:t>
      </w:r>
      <w:r>
        <w:rPr>
          <w:color w:val="000000"/>
          <w:szCs w:val="28"/>
        </w:rPr>
        <w:t xml:space="preserve">адресою</w:t>
      </w:r>
      <w:r>
        <w:rPr>
          <w:color w:val="000000"/>
          <w:szCs w:val="28"/>
        </w:rPr>
        <w:t xml:space="preserve">: вулиця Зарічна, 11, с</w:t>
      </w:r>
      <w:r>
        <w:rPr>
          <w:color w:val="000000"/>
          <w:szCs w:val="28"/>
        </w:rPr>
        <w:t xml:space="preserve">елище </w:t>
      </w:r>
      <w:r>
        <w:rPr>
          <w:color w:val="000000"/>
          <w:szCs w:val="28"/>
        </w:rPr>
        <w:t xml:space="preserve">Макошине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Корюківського</w:t>
      </w:r>
      <w:r>
        <w:rPr>
          <w:color w:val="000000"/>
          <w:szCs w:val="28"/>
        </w:rPr>
        <w:t xml:space="preserve"> району Чернігівської області, </w:t>
      </w:r>
      <w:r>
        <w:rPr>
          <w:color w:val="000000"/>
          <w:szCs w:val="28"/>
        </w:rPr>
        <w:t xml:space="preserve">а саме</w:t>
      </w:r>
      <w:r>
        <w:rPr>
          <w:color w:val="000000"/>
          <w:szCs w:val="28"/>
        </w:rPr>
        <w:t xml:space="preserve">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955"/>
        <w:numPr>
          <w:ilvl w:val="0"/>
          <w:numId w:val="5"/>
        </w:numPr>
        <w:pBdr/>
        <w:tabs>
          <w:tab w:val="left" w:leader="none" w:pos="993"/>
        </w:tabs>
        <w:spacing/>
        <w:ind w:firstLine="0" w:left="567"/>
        <w:rPr>
          <w:bCs/>
          <w:color w:val="000000"/>
        </w:rPr>
      </w:pPr>
      <w:r>
        <w:rPr>
          <w:bCs/>
          <w:color w:val="000000"/>
        </w:rPr>
        <w:t xml:space="preserve">частина </w:t>
      </w:r>
      <w:r>
        <w:rPr>
          <w:bCs/>
          <w:color w:val="000000"/>
        </w:rPr>
        <w:t xml:space="preserve">будівля лікувального корпусу А-1 – </w:t>
      </w:r>
      <w:r>
        <w:rPr>
          <w:bCs/>
          <w:color w:val="000000"/>
        </w:rPr>
        <w:t xml:space="preserve">37,14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кв.м</w:t>
      </w:r>
      <w:r>
        <w:rPr>
          <w:bCs/>
          <w:color w:val="000000"/>
        </w:rPr>
        <w:t xml:space="preserve">.;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955"/>
        <w:numPr>
          <w:ilvl w:val="0"/>
          <w:numId w:val="5"/>
        </w:numPr>
        <w:pBdr/>
        <w:tabs>
          <w:tab w:val="left" w:leader="none" w:pos="993"/>
        </w:tabs>
        <w:spacing/>
        <w:ind w:firstLine="0" w:left="567"/>
        <w:rPr>
          <w:bCs/>
          <w:color w:val="000000"/>
        </w:rPr>
      </w:pPr>
      <w:r>
        <w:rPr>
          <w:bCs/>
          <w:color w:val="000000"/>
        </w:rPr>
        <w:t xml:space="preserve">господарська будівля Б-1 – 49,1 </w:t>
      </w:r>
      <w:r>
        <w:rPr>
          <w:bCs/>
          <w:color w:val="000000"/>
        </w:rPr>
        <w:t xml:space="preserve">кв.м</w:t>
      </w:r>
      <w:r>
        <w:rPr>
          <w:bCs/>
          <w:color w:val="000000"/>
        </w:rPr>
        <w:t xml:space="preserve">.;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955"/>
        <w:numPr>
          <w:ilvl w:val="0"/>
          <w:numId w:val="5"/>
        </w:numPr>
        <w:pBdr/>
        <w:tabs>
          <w:tab w:val="left" w:leader="none" w:pos="993"/>
        </w:tabs>
        <w:spacing/>
        <w:ind w:firstLine="0" w:left="567"/>
        <w:rPr>
          <w:bCs/>
          <w:color w:val="000000"/>
        </w:rPr>
      </w:pPr>
      <w:r>
        <w:rPr>
          <w:bCs/>
          <w:color w:val="000000"/>
        </w:rPr>
        <w:t xml:space="preserve">господарська будівля для палива № 2 В-1 – 87,0 </w:t>
      </w:r>
      <w:r>
        <w:rPr>
          <w:bCs/>
          <w:color w:val="000000"/>
        </w:rPr>
        <w:t xml:space="preserve">кв.м</w:t>
      </w:r>
      <w:r>
        <w:rPr>
          <w:bCs/>
          <w:color w:val="000000"/>
        </w:rPr>
        <w:t xml:space="preserve">.;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955"/>
        <w:numPr>
          <w:ilvl w:val="0"/>
          <w:numId w:val="5"/>
        </w:numPr>
        <w:pBdr/>
        <w:tabs>
          <w:tab w:val="left" w:leader="none" w:pos="993"/>
        </w:tabs>
        <w:spacing/>
        <w:ind w:firstLine="0" w:left="567"/>
        <w:rPr>
          <w:color w:val="000000"/>
        </w:rPr>
      </w:pPr>
      <w:r>
        <w:rPr>
          <w:bCs/>
          <w:color w:val="000000"/>
        </w:rPr>
        <w:t xml:space="preserve"> теплогенератор модульний ТМ-200.</w:t>
      </w:r>
      <w:r>
        <w:rPr>
          <w:color w:val="000000"/>
        </w:rPr>
      </w:r>
      <w:r>
        <w:rPr>
          <w:color w:val="000000"/>
        </w:rPr>
      </w:r>
    </w:p>
    <w:p>
      <w:pPr>
        <w:pStyle w:val="957"/>
        <w:numPr>
          <w:ilvl w:val="0"/>
          <w:numId w:val="4"/>
        </w:numPr>
        <w:pBdr/>
        <w:shd w:val="clear" w:color="auto" w:fill="ffffff"/>
        <w:tabs>
          <w:tab w:val="left" w:leader="none" w:pos="992"/>
        </w:tabs>
        <w:spacing w:after="0" w:afterAutospacing="0" w:before="0" w:beforeAutospacing="0"/>
        <w:ind w:firstLine="567"/>
        <w:jc w:val="both"/>
        <w:rPr>
          <w:bCs/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Передати </w:t>
      </w:r>
      <w:r>
        <w:rPr>
          <w:color w:val="000000"/>
          <w:sz w:val="28"/>
          <w:szCs w:val="28"/>
          <w:lang w:val="uk-UA"/>
        </w:rPr>
        <w:t xml:space="preserve">на баланс</w:t>
      </w:r>
      <w:r>
        <w:rPr>
          <w:color w:val="000000"/>
          <w:sz w:val="28"/>
          <w:szCs w:val="28"/>
          <w:lang w:val="uk-UA"/>
        </w:rPr>
        <w:t xml:space="preserve"> Менської міської ради нерухоме майно, </w:t>
      </w:r>
      <w:r>
        <w:rPr>
          <w:color w:val="000000"/>
          <w:sz w:val="28"/>
          <w:szCs w:val="28"/>
          <w:lang w:val="uk-UA"/>
        </w:rPr>
        <w:t xml:space="preserve">вказане в пункті 1 рішення, </w:t>
      </w:r>
      <w:r>
        <w:rPr>
          <w:bCs/>
          <w:color w:val="000000"/>
          <w:sz w:val="28"/>
          <w:szCs w:val="28"/>
          <w:lang w:val="uk-UA"/>
        </w:rPr>
        <w:t xml:space="preserve">з наявною технічною документацією та залишками палива на момент передачі.</w:t>
      </w:r>
      <w:r>
        <w:rPr>
          <w:bCs/>
          <w:color w:val="000000"/>
          <w:lang w:val="uk-UA"/>
        </w:rPr>
      </w:r>
      <w:r>
        <w:rPr>
          <w:bCs/>
          <w:color w:val="000000"/>
          <w:lang w:val="uk-UA"/>
        </w:rPr>
      </w:r>
    </w:p>
    <w:p>
      <w:pPr>
        <w:pStyle w:val="957"/>
        <w:numPr>
          <w:ilvl w:val="0"/>
          <w:numId w:val="4"/>
        </w:numPr>
        <w:pBdr/>
        <w:shd w:val="clear" w:color="auto" w:fill="ffffff"/>
        <w:tabs>
          <w:tab w:val="left" w:leader="none" w:pos="992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  <w14:ligatures w14:val="none"/>
        </w:rPr>
      </w:pPr>
      <w:r>
        <w:rPr>
          <w:color w:val="000000"/>
          <w:sz w:val="28"/>
          <w:szCs w:val="28"/>
          <w:lang w:val="uk-UA"/>
        </w:rPr>
        <w:t xml:space="preserve">Приймання-передачу майна здійснити комісії, яка створюється наказом генерального директора КНП «Менськ</w:t>
      </w:r>
      <w:r>
        <w:rPr>
          <w:color w:val="000000"/>
          <w:sz w:val="28"/>
          <w:szCs w:val="28"/>
          <w:lang w:val="uk-UA"/>
        </w:rPr>
        <w:t xml:space="preserve">ий центр ПМСД</w:t>
      </w:r>
      <w:r>
        <w:rPr>
          <w:color w:val="000000"/>
          <w:sz w:val="28"/>
          <w:szCs w:val="28"/>
          <w:lang w:val="uk-UA"/>
        </w:rPr>
        <w:t xml:space="preserve">».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57"/>
        <w:numPr>
          <w:ilvl w:val="0"/>
          <w:numId w:val="4"/>
        </w:numPr>
        <w:pBdr/>
        <w:shd w:val="clear" w:color="auto" w:fill="ffffff"/>
        <w:tabs>
          <w:tab w:val="left" w:leader="none" w:pos="992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  <w14:ligatures w14:val="none"/>
        </w:rPr>
      </w:pPr>
      <w:r>
        <w:rPr>
          <w:color w:val="000000"/>
          <w:sz w:val="28"/>
          <w:szCs w:val="28"/>
          <w:lang w:val="uk-UA"/>
        </w:rPr>
        <w:t xml:space="preserve">Враховуючи усунення причин та умов, що були підставою для </w:t>
      </w:r>
      <w:r>
        <w:rPr>
          <w:color w:val="000000"/>
          <w:sz w:val="28"/>
          <w:szCs w:val="28"/>
          <w:lang w:val="uk-UA"/>
        </w:rPr>
        <w:t xml:space="preserve">прийняття рішення суду щодо </w:t>
      </w:r>
      <w:r>
        <w:rPr>
          <w:color w:val="000000"/>
          <w:sz w:val="28"/>
          <w:szCs w:val="28"/>
          <w:lang w:val="uk-UA"/>
        </w:rPr>
        <w:t xml:space="preserve">зупинення експлуатації будівлі лікувального корпусу та будівлі їдальні </w:t>
      </w:r>
      <w:r>
        <w:rPr>
          <w:color w:val="000000"/>
          <w:sz w:val="28"/>
          <w:szCs w:val="28"/>
          <w:lang w:val="uk-UA"/>
        </w:rPr>
        <w:t xml:space="preserve">за </w:t>
      </w:r>
      <w:r>
        <w:rPr>
          <w:color w:val="000000"/>
          <w:sz w:val="28"/>
          <w:szCs w:val="28"/>
          <w:lang w:val="uk-UA"/>
        </w:rPr>
        <w:t xml:space="preserve">адресою</w:t>
      </w:r>
      <w:r>
        <w:rPr>
          <w:color w:val="000000"/>
          <w:sz w:val="28"/>
          <w:szCs w:val="28"/>
          <w:lang w:val="uk-UA"/>
        </w:rPr>
        <w:t xml:space="preserve">: вулиця Зарічна, 11, селище </w:t>
      </w:r>
      <w:r>
        <w:rPr>
          <w:color w:val="000000"/>
          <w:sz w:val="28"/>
          <w:szCs w:val="28"/>
          <w:lang w:val="uk-UA"/>
        </w:rPr>
        <w:t xml:space="preserve">Макошине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Корюківського</w:t>
      </w:r>
      <w:r>
        <w:rPr>
          <w:color w:val="000000"/>
          <w:sz w:val="28"/>
          <w:szCs w:val="28"/>
          <w:lang w:val="uk-UA"/>
        </w:rPr>
        <w:t xml:space="preserve"> району Чернігівської області</w:t>
      </w:r>
      <w:r>
        <w:rPr>
          <w:color w:val="000000"/>
          <w:sz w:val="28"/>
          <w:szCs w:val="28"/>
          <w:lang w:val="uk-UA"/>
        </w:rPr>
        <w:t xml:space="preserve"> (переміщення паліативного відділення КНП «Менська міська лікарня»), </w:t>
      </w:r>
      <w:r>
        <w:rPr>
          <w:color w:val="000000"/>
          <w:sz w:val="28"/>
          <w:szCs w:val="28"/>
          <w:lang w:val="uk-UA"/>
        </w:rPr>
        <w:t xml:space="preserve">в</w:t>
      </w:r>
      <w:r>
        <w:rPr>
          <w:color w:val="000000"/>
          <w:sz w:val="28"/>
          <w:szCs w:val="28"/>
          <w:lang w:val="uk-UA"/>
        </w:rPr>
        <w:t xml:space="preserve">изнати таким, що втратило чинність </w:t>
      </w:r>
      <w:r>
        <w:rPr>
          <w:color w:val="000000"/>
          <w:sz w:val="28"/>
          <w:szCs w:val="28"/>
          <w:lang w:val="uk-UA"/>
        </w:rPr>
        <w:t xml:space="preserve">рішення сорок шостої сесії Менської міської ради восьмого скликання від 21 березня 2024 року № 139 «Про зупинення експлуатації будівель».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57"/>
        <w:numPr>
          <w:ilvl w:val="0"/>
          <w:numId w:val="4"/>
        </w:numPr>
        <w:pBdr/>
        <w:shd w:val="clear" w:color="auto" w:fill="ffffff"/>
        <w:tabs>
          <w:tab w:val="left" w:leader="none" w:pos="992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  <w14:ligatures w14:val="none"/>
        </w:rPr>
      </w:pPr>
      <w:r>
        <w:rPr>
          <w:color w:val="000000"/>
          <w:sz w:val="28"/>
          <w:szCs w:val="28"/>
          <w:lang w:val="uk-UA"/>
        </w:rPr>
        <w:t xml:space="preserve">Контроль </w:t>
      </w:r>
      <w:r>
        <w:rPr>
          <w:color w:val="000000"/>
          <w:sz w:val="28"/>
          <w:szCs w:val="28"/>
          <w:lang w:val="uk-UA"/>
        </w:rPr>
        <w:t xml:space="preserve">за виконанням рішення покласти на</w:t>
      </w:r>
      <w:r>
        <w:rPr>
          <w:color w:val="000000"/>
          <w:sz w:val="28"/>
          <w:szCs w:val="28"/>
          <w:lang w:val="uk-UA"/>
        </w:rPr>
        <w:t xml:space="preserve"> постійні комісії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 та з </w:t>
      </w:r>
      <w:r>
        <w:rPr>
          <w:color w:val="000000"/>
          <w:sz w:val="28"/>
          <w:szCs w:val="28"/>
          <w:lang w:val="uk-UA"/>
        </w:rPr>
        <w:t xml:space="preserve">питань охорони здоров’я, соціального захисту населення, освіти, культури, молоді, фізкультури і спорту, </w:t>
      </w:r>
      <w:r>
        <w:rPr>
          <w:color w:val="000000"/>
          <w:sz w:val="28"/>
          <w:szCs w:val="28"/>
          <w:lang w:val="uk-UA"/>
        </w:rPr>
        <w:t xml:space="preserve">та на </w:t>
      </w:r>
      <w:r>
        <w:rPr>
          <w:color w:val="000000"/>
          <w:sz w:val="28"/>
          <w:szCs w:val="28"/>
          <w:lang w:val="uk-UA"/>
        </w:rPr>
        <w:t xml:space="preserve">заступника міського голови </w:t>
      </w:r>
      <w:r>
        <w:rPr>
          <w:color w:val="000000"/>
          <w:sz w:val="28"/>
          <w:szCs w:val="28"/>
          <w:lang w:val="uk-UA"/>
        </w:rPr>
        <w:t xml:space="preserve">з питань діяльності виконавчих органів ради Гаєвого С.М.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57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  <w:lang w:val="uk-UA"/>
        </w:rPr>
        <w:t xml:space="preserve">ОВ</w:t>
      </w:r>
      <w:r>
        <w:rPr>
          <w:color w:val="ffffff"/>
          <w:sz w:val="28"/>
          <w:szCs w:val="28"/>
        </w:rPr>
      </w:r>
      <w:r>
        <w:rPr>
          <w:color w:val="ffffff"/>
          <w:sz w:val="28"/>
          <w:szCs w:val="28"/>
        </w:rPr>
      </w:r>
    </w:p>
    <w:p>
      <w:pPr>
        <w:pStyle w:val="955"/>
        <w:pBdr/>
        <w:tabs>
          <w:tab w:val="left" w:leader="none" w:pos="993"/>
          <w:tab w:val="left" w:leader="none" w:pos="6520"/>
        </w:tabs>
        <w:spacing/>
        <w:ind/>
        <w:rPr>
          <w:bCs/>
          <w:color w:val="000000"/>
        </w:rPr>
      </w:pPr>
      <w:r>
        <w:rPr>
          <w:bCs/>
          <w:color w:val="000000"/>
        </w:rPr>
        <w:t xml:space="preserve">Секретар ради</w:t>
        <w:tab/>
        <w:t xml:space="preserve">Юрій СТАЛЬНИЧЕНКО</w:t>
      </w:r>
      <w:r>
        <w:rPr>
          <w:bCs/>
          <w:color w:val="000000"/>
        </w:rPr>
      </w:r>
      <w:r>
        <w:rPr>
          <w:bCs/>
          <w:color w:val="000000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bCs/>
          <w:color w:val="000000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5" w:left="720"/>
      </w:pPr>
      <w:rPr>
        <w:lang w:val="uk-U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915" w:left="1482"/>
      </w:pPr>
      <w:rPr>
        <w:rFonts w:hint="default" w:eastAsia="Calibri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ascii="Times New Roman" w:hAnsi="Times New Roman" w:eastAsia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ascii="Wingdings" w:hAnsi="Wingdings"/>
      </w:rPr>
      <w:start w:val="1"/>
      <w:suff w:val="tab"/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7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7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7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741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741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7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7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 w:default="1">
    <w:name w:val="Normal"/>
    <w:qFormat/>
    <w:pPr>
      <w:pBdr/>
      <w:spacing/>
      <w:ind/>
    </w:pPr>
  </w:style>
  <w:style w:type="paragraph" w:styleId="732">
    <w:name w:val="Heading 1"/>
    <w:basedOn w:val="731"/>
    <w:next w:val="73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731"/>
    <w:next w:val="7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character" w:styleId="744" w:customStyle="1">
    <w:name w:val="Title Char"/>
    <w:basedOn w:val="741"/>
    <w:uiPriority w:val="10"/>
    <w:pPr>
      <w:pBdr/>
      <w:spacing/>
      <w:ind/>
    </w:pPr>
    <w:rPr>
      <w:sz w:val="48"/>
      <w:szCs w:val="48"/>
    </w:rPr>
  </w:style>
  <w:style w:type="character" w:styleId="745" w:customStyle="1">
    <w:name w:val="Subtitle Char"/>
    <w:basedOn w:val="741"/>
    <w:uiPriority w:val="11"/>
    <w:pPr>
      <w:pBdr/>
      <w:spacing/>
      <w:ind/>
    </w:pPr>
    <w:rPr>
      <w:sz w:val="24"/>
      <w:szCs w:val="24"/>
    </w:rPr>
  </w:style>
  <w:style w:type="character" w:styleId="746" w:customStyle="1">
    <w:name w:val="Quote Char"/>
    <w:uiPriority w:val="29"/>
    <w:pPr>
      <w:pBdr/>
      <w:spacing/>
      <w:ind/>
    </w:pPr>
    <w:rPr>
      <w:i/>
    </w:rPr>
  </w:style>
  <w:style w:type="character" w:styleId="747" w:customStyle="1">
    <w:name w:val="Intense Quote Char"/>
    <w:uiPriority w:val="30"/>
    <w:pPr>
      <w:pBdr/>
      <w:spacing/>
      <w:ind/>
    </w:pPr>
    <w:rPr>
      <w:i/>
    </w:rPr>
  </w:style>
  <w:style w:type="paragraph" w:styleId="748">
    <w:name w:val="Header"/>
    <w:basedOn w:val="73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49">
    <w:name w:val="Footer"/>
    <w:basedOn w:val="73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50">
    <w:name w:val="Caption"/>
    <w:basedOn w:val="731"/>
    <w:next w:val="73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51">
    <w:name w:val="Plain Table 1"/>
    <w:basedOn w:val="74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74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0" w:customStyle="1">
    <w:name w:val="Footnote Text Char"/>
    <w:uiPriority w:val="99"/>
    <w:pPr>
      <w:pBdr/>
      <w:spacing/>
      <w:ind/>
    </w:pPr>
    <w:rPr>
      <w:sz w:val="18"/>
    </w:rPr>
  </w:style>
  <w:style w:type="character" w:styleId="771" w:customStyle="1">
    <w:name w:val="Endnote Text Char"/>
    <w:uiPriority w:val="99"/>
    <w:pPr>
      <w:pBdr/>
      <w:spacing/>
      <w:ind/>
    </w:pPr>
    <w:rPr>
      <w:sz w:val="20"/>
    </w:rPr>
  </w:style>
  <w:style w:type="paragraph" w:styleId="772" w:customStyle="1">
    <w:name w:val="Заголовок 11"/>
    <w:link w:val="7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3" w:customStyle="1">
    <w:name w:val="Heading 1 Char"/>
    <w:link w:val="7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4" w:customStyle="1">
    <w:name w:val="Заголовок 21"/>
    <w:link w:val="7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5" w:customStyle="1">
    <w:name w:val="Heading 2 Char"/>
    <w:link w:val="7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6" w:customStyle="1">
    <w:name w:val="Заголовок 31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7" w:customStyle="1">
    <w:name w:val="Heading 3 Char"/>
    <w:link w:val="7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8" w:customStyle="1">
    <w:name w:val="Заголовок 41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Heading 4 Char"/>
    <w:link w:val="7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0" w:customStyle="1">
    <w:name w:val="Заголовок 51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5 Char"/>
    <w:link w:val="7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2" w:customStyle="1">
    <w:name w:val="Заголовок 61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Heading 6 Char"/>
    <w:link w:val="7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4" w:customStyle="1">
    <w:name w:val="Заголовок 71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Heading 7 Char"/>
    <w:link w:val="7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6" w:customStyle="1">
    <w:name w:val="Заголовок 81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Heading 8 Char"/>
    <w:link w:val="7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8" w:customStyle="1">
    <w:name w:val="Заголовок 91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Heading 9 Char"/>
    <w:link w:val="7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731"/>
    <w:pPr>
      <w:pBdr/>
      <w:spacing/>
      <w:ind w:left="720"/>
    </w:pPr>
    <w:rPr>
      <w:rFonts w:ascii="Times New Roman" w:hAnsi="Times New Roman" w:eastAsia="Times New Roman"/>
      <w:lang w:val="uk-UA"/>
    </w:rPr>
  </w:style>
  <w:style w:type="paragraph" w:styleId="791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 w:bidi="en-US"/>
    </w:rPr>
  </w:style>
  <w:style w:type="paragraph" w:styleId="792">
    <w:name w:val="Title"/>
    <w:link w:val="7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3" w:customStyle="1">
    <w:name w:val="Заголовок Знак"/>
    <w:link w:val="792"/>
    <w:uiPriority w:val="10"/>
    <w:pPr>
      <w:pBdr/>
      <w:spacing/>
      <w:ind/>
    </w:pPr>
    <w:rPr>
      <w:sz w:val="48"/>
      <w:szCs w:val="48"/>
    </w:rPr>
  </w:style>
  <w:style w:type="paragraph" w:styleId="794">
    <w:name w:val="Subtitle"/>
    <w:link w:val="7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5" w:customStyle="1">
    <w:name w:val="Подзаголовок Знак"/>
    <w:link w:val="794"/>
    <w:uiPriority w:val="11"/>
    <w:pPr>
      <w:pBdr/>
      <w:spacing/>
      <w:ind/>
    </w:pPr>
    <w:rPr>
      <w:sz w:val="24"/>
      <w:szCs w:val="24"/>
    </w:rPr>
  </w:style>
  <w:style w:type="paragraph" w:styleId="796">
    <w:name w:val="Quote"/>
    <w:link w:val="797"/>
    <w:uiPriority w:val="29"/>
    <w:qFormat/>
    <w:pPr>
      <w:pBdr/>
      <w:spacing/>
      <w:ind w:right="720" w:left="720"/>
    </w:pPr>
    <w:rPr>
      <w:i/>
    </w:rPr>
  </w:style>
  <w:style w:type="character" w:styleId="797" w:customStyle="1">
    <w:name w:val="Цитата 2 Знак"/>
    <w:link w:val="796"/>
    <w:uiPriority w:val="29"/>
    <w:pPr>
      <w:pBdr/>
      <w:spacing/>
      <w:ind/>
    </w:pPr>
    <w:rPr>
      <w:i/>
    </w:rPr>
  </w:style>
  <w:style w:type="paragraph" w:styleId="798">
    <w:name w:val="Intense Quote"/>
    <w:link w:val="7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9" w:customStyle="1">
    <w:name w:val="Выделенная цитата Знак"/>
    <w:link w:val="798"/>
    <w:uiPriority w:val="30"/>
    <w:pPr>
      <w:pBdr/>
      <w:spacing/>
      <w:ind/>
    </w:pPr>
    <w:rPr>
      <w:i/>
    </w:rPr>
  </w:style>
  <w:style w:type="paragraph" w:styleId="800" w:customStyle="1">
    <w:name w:val="Верхній колонтитул1"/>
    <w:link w:val="80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1" w:customStyle="1">
    <w:name w:val="Header Char"/>
    <w:link w:val="800"/>
    <w:uiPriority w:val="99"/>
    <w:pPr>
      <w:pBdr/>
      <w:spacing/>
      <w:ind/>
    </w:pPr>
  </w:style>
  <w:style w:type="paragraph" w:styleId="802" w:customStyle="1">
    <w:name w:val="Нижній колонтитул1"/>
    <w:link w:val="80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3" w:customStyle="1">
    <w:name w:val="Footer Char"/>
    <w:uiPriority w:val="99"/>
    <w:pPr>
      <w:pBdr/>
      <w:spacing/>
      <w:ind/>
    </w:pPr>
  </w:style>
  <w:style w:type="paragraph" w:styleId="804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5" w:customStyle="1">
    <w:name w:val="Caption Char"/>
    <w:link w:val="802"/>
    <w:uiPriority w:val="99"/>
    <w:pPr>
      <w:pBdr/>
      <w:spacing/>
      <w:ind/>
    </w:pPr>
  </w:style>
  <w:style w:type="table" w:styleId="806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1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2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3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4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5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6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1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2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3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4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5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6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3">
    <w:name w:val="footnote text"/>
    <w:link w:val="934"/>
    <w:uiPriority w:val="99"/>
    <w:semiHidden/>
    <w:unhideWhenUsed/>
    <w:pPr>
      <w:pBdr/>
      <w:spacing w:after="40"/>
      <w:ind/>
    </w:pPr>
    <w:rPr>
      <w:sz w:val="18"/>
    </w:rPr>
  </w:style>
  <w:style w:type="character" w:styleId="934" w:customStyle="1">
    <w:name w:val="Текст сноски Знак"/>
    <w:link w:val="933"/>
    <w:uiPriority w:val="99"/>
    <w:pPr>
      <w:pBdr/>
      <w:spacing/>
      <w:ind/>
    </w:pPr>
    <w:rPr>
      <w:sz w:val="18"/>
    </w:rPr>
  </w:style>
  <w:style w:type="character" w:styleId="93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6">
    <w:name w:val="endnote text"/>
    <w:link w:val="937"/>
    <w:uiPriority w:val="99"/>
    <w:semiHidden/>
    <w:unhideWhenUsed/>
    <w:pPr>
      <w:pBdr/>
      <w:spacing/>
      <w:ind/>
    </w:pPr>
  </w:style>
  <w:style w:type="character" w:styleId="937" w:customStyle="1">
    <w:name w:val="Текст концевой сноски Знак"/>
    <w:link w:val="936"/>
    <w:uiPriority w:val="99"/>
    <w:pPr>
      <w:pBdr/>
      <w:spacing/>
      <w:ind/>
    </w:pPr>
    <w:rPr>
      <w:sz w:val="20"/>
    </w:rPr>
  </w:style>
  <w:style w:type="character" w:styleId="93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toc 1"/>
    <w:uiPriority w:val="39"/>
    <w:unhideWhenUsed/>
    <w:pPr>
      <w:pBdr/>
      <w:spacing w:after="57"/>
      <w:ind/>
    </w:pPr>
  </w:style>
  <w:style w:type="paragraph" w:styleId="940">
    <w:name w:val="toc 2"/>
    <w:uiPriority w:val="39"/>
    <w:unhideWhenUsed/>
    <w:pPr>
      <w:pBdr/>
      <w:spacing w:after="57"/>
      <w:ind w:left="283"/>
    </w:pPr>
  </w:style>
  <w:style w:type="paragraph" w:styleId="941">
    <w:name w:val="toc 3"/>
    <w:uiPriority w:val="39"/>
    <w:unhideWhenUsed/>
    <w:pPr>
      <w:pBdr/>
      <w:spacing w:after="57"/>
      <w:ind w:left="567"/>
    </w:pPr>
  </w:style>
  <w:style w:type="paragraph" w:styleId="942">
    <w:name w:val="toc 4"/>
    <w:uiPriority w:val="39"/>
    <w:unhideWhenUsed/>
    <w:pPr>
      <w:pBdr/>
      <w:spacing w:after="57"/>
      <w:ind w:left="850"/>
    </w:pPr>
  </w:style>
  <w:style w:type="paragraph" w:styleId="943">
    <w:name w:val="toc 5"/>
    <w:uiPriority w:val="39"/>
    <w:unhideWhenUsed/>
    <w:pPr>
      <w:pBdr/>
      <w:spacing w:after="57"/>
      <w:ind w:left="1134"/>
    </w:pPr>
  </w:style>
  <w:style w:type="paragraph" w:styleId="944">
    <w:name w:val="toc 6"/>
    <w:uiPriority w:val="39"/>
    <w:unhideWhenUsed/>
    <w:pPr>
      <w:pBdr/>
      <w:spacing w:after="57"/>
      <w:ind w:left="1417"/>
    </w:pPr>
  </w:style>
  <w:style w:type="paragraph" w:styleId="945">
    <w:name w:val="toc 7"/>
    <w:uiPriority w:val="39"/>
    <w:unhideWhenUsed/>
    <w:pPr>
      <w:pBdr/>
      <w:spacing w:after="57"/>
      <w:ind w:left="1701"/>
    </w:pPr>
  </w:style>
  <w:style w:type="paragraph" w:styleId="946">
    <w:name w:val="toc 8"/>
    <w:uiPriority w:val="39"/>
    <w:unhideWhenUsed/>
    <w:pPr>
      <w:pBdr/>
      <w:spacing w:after="57"/>
      <w:ind w:left="1984"/>
    </w:pPr>
  </w:style>
  <w:style w:type="paragraph" w:styleId="947">
    <w:name w:val="toc 9"/>
    <w:uiPriority w:val="39"/>
    <w:unhideWhenUsed/>
    <w:pPr>
      <w:pBdr/>
      <w:spacing w:after="57"/>
      <w:ind w:left="2268"/>
    </w:p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uiPriority w:val="99"/>
    <w:unhideWhenUsed/>
    <w:pPr>
      <w:pBdr/>
      <w:spacing/>
      <w:ind/>
    </w:pPr>
  </w:style>
  <w:style w:type="paragraph" w:styleId="950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eastAsia="en-US"/>
    </w:rPr>
  </w:style>
  <w:style w:type="paragraph" w:styleId="951">
    <w:name w:val="Balloon Text"/>
    <w:basedOn w:val="731"/>
    <w:link w:val="952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52" w:customStyle="1">
    <w:name w:val="Текст выноски Знак"/>
    <w:basedOn w:val="741"/>
    <w:link w:val="951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paragraph" w:styleId="953">
    <w:name w:val="Normal (Web)"/>
    <w:basedOn w:val="73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4" w:customStyle="1">
    <w:name w:val="Обычный2"/>
    <w:pPr>
      <w:pBdr/>
      <w:spacing/>
      <w:ind/>
    </w:pPr>
    <w:rPr>
      <w:rFonts w:ascii="Times New Roman" w:hAnsi="Times New Roman" w:eastAsia="Times New Roman"/>
      <w:sz w:val="22"/>
      <w:szCs w:val="22"/>
      <w:lang w:val="uk-UA" w:eastAsia="en-US"/>
    </w:rPr>
  </w:style>
  <w:style w:type="paragraph" w:styleId="955" w:customStyle="1">
    <w:name w:val="Основной текст1"/>
    <w:basedOn w:val="731"/>
    <w:pPr>
      <w:pBdr/>
      <w:spacing/>
      <w:ind/>
      <w:jc w:val="both"/>
    </w:pPr>
    <w:rPr>
      <w:rFonts w:ascii="Times New Roman" w:hAnsi="Times New Roman" w:eastAsia="Times New Roman"/>
      <w:sz w:val="28"/>
      <w:szCs w:val="24"/>
      <w:lang w:val="uk-UA" w:eastAsia="ru-RU"/>
    </w:rPr>
  </w:style>
  <w:style w:type="paragraph" w:styleId="956" w:customStyle="1">
    <w:name w:val="Абзац списка1"/>
    <w:basedOn w:val="731"/>
    <w:pPr>
      <w:pBdr/>
      <w:spacing w:after="200" w:line="276" w:lineRule="auto"/>
      <w:ind w:left="720"/>
    </w:pPr>
    <w:rPr>
      <w:rFonts w:eastAsia="Times New Roman"/>
      <w:color w:val="00000a"/>
      <w:sz w:val="22"/>
      <w:szCs w:val="22"/>
      <w:lang w:val="uk-UA" w:eastAsia="ar-SA"/>
    </w:rPr>
  </w:style>
  <w:style w:type="paragraph" w:styleId="957" w:customStyle="1">
    <w:name w:val="Обычный (веб)1"/>
    <w:basedOn w:val="73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character" w:styleId="958" w:customStyle="1">
    <w:name w:val="docy"/>
    <w:basedOn w:val="74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EB8578E-4AE0-403C-A905-9DF41A876E24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13</cp:revision>
  <dcterms:created xsi:type="dcterms:W3CDTF">2025-10-17T13:31:00Z</dcterms:created>
  <dcterms:modified xsi:type="dcterms:W3CDTF">2025-10-23T06:31:47Z</dcterms:modified>
</cp:coreProperties>
</file>