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636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386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земельної ділянки гр. Холоду Олексію Григоровичу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звіт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експертної грошової оцінки земельної ділянки площею 0,0717 га, кадастровий № 7423083500:01:005:0007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будівництва та обслуговування будівель торгівлі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с. Дягова, по вул. Покровська, 30а,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виготовлену ПП «Аксіома»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документ, що посвідчує право власності гр.  Холода О.Г. на об’єкт нерухомості, який знаходиться на зем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ельній ділянці, керуючись Конституцією України, Земельним кодексом України, ст.ст.12,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27, 128, Законом України «Про місцеве самоврядування в Україні» , ст.26,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ВИ 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1. Затвердити ціну продажу земельної ділянки площею 717 кв.м кадастровий № 7423083500:01:005:0007, 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104704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сто чотири тисячі сімсот чотири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грн.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коп) гривень, без урахування ПДВ. Кошти повинні бути перераховані на розрахунковий рахунок Менської міської ради до моменту укладання договору купівлі-продажу.</w:t>
      </w:r>
      <w:r>
        <w:rPr>
          <w:u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у власність (продати) гр. Холоду Олексію Григоровичу земельну ділянку площею 0,0717 га, кадастровий № 7423083500:01:005:0007 в с. Дягова, по вул. Покровська, 30а, (код згідно з КВЦПЗ 03.07) для будівництва та обслуговування будівель торгівлі.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укласти від імені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Гр. Холода О.Г. зобов’язати використовувати земельну ділянку відповідно до вимог чинного природоохоронного законодавства.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Рішення набуває чинності з дня доведення його до відома гр.  Холода О.Г.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2025-10-22T11:40:49Z</dcterms:modified>
</cp:coreProperties>
</file>