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93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r>
      <w:r>
        <w:rPr>
          <w:rFonts w:ascii="Times New Roman" w:hAnsi="Times New Roman" w:cs="Mangal"/>
          <w:b/>
          <w:bCs/>
          <w:color w:val="000000" w:themeColor="text1"/>
          <w:sz w:val="16"/>
          <w:szCs w:val="16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14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жовтня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25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278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 w:right="50"/>
        <w:jc w:val="both"/>
        <w:rPr/>
      </w:pPr>
      <w:r/>
      <w:r/>
    </w:p>
    <w:p>
      <w:pPr>
        <w:pBdr/>
        <w:spacing w:after="0" w:line="240" w:lineRule="auto"/>
        <w:ind w:right="5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Про створення штабу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територіальної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громади з проведення у 202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/202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6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навчальному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році Всеукраїнської дитячо-юнацької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військово-патріотичної  гри «Сокіл» («Джура»)  </w:t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Відповідно до Указу Президента України від 18 травня</w:t>
      </w:r>
      <w:r>
        <w:rPr>
          <w:rFonts w:ascii="Times New Roman" w:hAnsi="Times New Roman"/>
          <w:sz w:val="28"/>
          <w:szCs w:val="28"/>
          <w:lang w:eastAsia="ar-SA"/>
        </w:rPr>
        <w:t xml:space="preserve"> 2019</w:t>
      </w:r>
      <w:r>
        <w:rPr>
          <w:rFonts w:ascii="Times New Roman" w:hAnsi="Times New Roman"/>
          <w:sz w:val="28"/>
          <w:szCs w:val="28"/>
          <w:lang w:eastAsia="ar-SA"/>
        </w:rPr>
        <w:t xml:space="preserve"> року</w:t>
      </w:r>
      <w:r>
        <w:rPr>
          <w:rFonts w:ascii="Times New Roman" w:hAnsi="Times New Roman"/>
          <w:sz w:val="28"/>
          <w:szCs w:val="28"/>
          <w:lang w:eastAsia="ar-SA"/>
        </w:rPr>
        <w:t xml:space="preserve"> №286 «Про </w:t>
      </w:r>
      <w:r>
        <w:rPr>
          <w:rFonts w:ascii="Times New Roman" w:hAnsi="Times New Roman"/>
          <w:sz w:val="28"/>
          <w:szCs w:val="28"/>
          <w:lang w:eastAsia="ar-SA"/>
        </w:rPr>
        <w:t xml:space="preserve">Стратегію </w:t>
      </w:r>
      <w:r>
        <w:rPr>
          <w:rFonts w:ascii="Times New Roman" w:hAnsi="Times New Roman"/>
          <w:sz w:val="28"/>
          <w:szCs w:val="28"/>
          <w:lang w:eastAsia="ar-SA"/>
        </w:rPr>
        <w:t xml:space="preserve">національно-патріотичного виховання»,</w:t>
      </w:r>
      <w:r>
        <w:rPr>
          <w:rFonts w:ascii="Times New Roman" w:hAnsi="Times New Roman"/>
          <w:sz w:val="28"/>
          <w:szCs w:val="28"/>
          <w:lang w:eastAsia="ar-SA"/>
        </w:rPr>
        <w:t xml:space="preserve"> Положення про Всеукраїнську</w:t>
      </w:r>
      <w:r>
        <w:rPr>
          <w:rFonts w:ascii="Times New Roman" w:hAnsi="Times New Roman"/>
          <w:sz w:val="28"/>
          <w:szCs w:val="28"/>
          <w:lang w:eastAsia="ar-SA"/>
        </w:rPr>
        <w:t xml:space="preserve"> дитячо-юнацьк</w:t>
      </w:r>
      <w:r>
        <w:rPr>
          <w:rFonts w:ascii="Times New Roman" w:hAnsi="Times New Roman"/>
          <w:sz w:val="28"/>
          <w:szCs w:val="28"/>
          <w:lang w:eastAsia="ar-SA"/>
        </w:rPr>
        <w:t xml:space="preserve">у військово-патріотичну</w:t>
      </w:r>
      <w:r>
        <w:rPr>
          <w:rFonts w:ascii="Times New Roman" w:hAnsi="Times New Roman"/>
          <w:sz w:val="28"/>
          <w:szCs w:val="28"/>
          <w:lang w:eastAsia="ar-SA"/>
        </w:rPr>
        <w:t xml:space="preserve"> гру «Сокіл»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(«Джура»)</w:t>
      </w:r>
      <w:r>
        <w:rPr>
          <w:rFonts w:ascii="Times New Roman" w:hAnsi="Times New Roman"/>
          <w:sz w:val="28"/>
          <w:szCs w:val="28"/>
          <w:lang w:eastAsia="ar-SA"/>
        </w:rPr>
        <w:t xml:space="preserve">, затвердженого постановою Кабінету Міністрів України від 17 жовтня 2018 року №845 «Деякі питання дитячо-юнацького   військово-патріотичної</w:t>
      </w:r>
      <w:r>
        <w:rPr>
          <w:rFonts w:ascii="Times New Roman" w:hAnsi="Times New Roman"/>
          <w:sz w:val="28"/>
          <w:szCs w:val="28"/>
          <w:lang w:eastAsia="ar-SA"/>
        </w:rPr>
        <w:t xml:space="preserve"> виховання»</w:t>
      </w:r>
      <w:r>
        <w:rPr>
          <w:rFonts w:ascii="Times New Roman" w:hAnsi="Times New Roman"/>
          <w:sz w:val="28"/>
          <w:szCs w:val="28"/>
          <w:lang w:eastAsia="ar-SA"/>
        </w:rPr>
        <w:t xml:space="preserve"> (зі змінами, внесеними згідно з постановою Кабінету Міністрів України від 13 травня 2020 року №367)</w:t>
      </w:r>
      <w:r>
        <w:rPr>
          <w:rFonts w:ascii="Times New Roman" w:hAnsi="Times New Roman"/>
          <w:sz w:val="28"/>
          <w:szCs w:val="28"/>
          <w:lang w:eastAsia="ar-SA"/>
        </w:rPr>
        <w:t xml:space="preserve">,</w:t>
      </w:r>
      <w:r>
        <w:rPr>
          <w:rFonts w:ascii="Times New Roman" w:hAnsi="Times New Roman"/>
          <w:sz w:val="28"/>
          <w:szCs w:val="28"/>
          <w:lang w:eastAsia="ar-SA"/>
        </w:rPr>
        <w:t xml:space="preserve"> з метою </w:t>
      </w:r>
      <w:r>
        <w:rPr>
          <w:rFonts w:ascii="Times New Roman" w:hAnsi="Times New Roman"/>
          <w:sz w:val="28"/>
          <w:szCs w:val="28"/>
          <w:lang w:eastAsia="ar-SA"/>
        </w:rPr>
        <w:t xml:space="preserve">патріотичного виховання учнівської молоді на засадах національної єдності, організації та </w:t>
      </w:r>
      <w:r>
        <w:rPr>
          <w:rFonts w:ascii="Times New Roman" w:hAnsi="Times New Roman"/>
          <w:sz w:val="28"/>
          <w:szCs w:val="28"/>
          <w:lang w:eastAsia="ar-SA"/>
        </w:rPr>
        <w:t xml:space="preserve">проведення </w:t>
      </w:r>
      <w:r>
        <w:rPr>
          <w:rFonts w:ascii="Times New Roman" w:hAnsi="Times New Roman"/>
          <w:sz w:val="28"/>
          <w:szCs w:val="28"/>
          <w:lang w:eastAsia="ar-SA"/>
        </w:rPr>
        <w:t xml:space="preserve">на належному організаційному рівні заходів у межах Всеукраїнської дитячо-юнацької військово-патріотичної гри «Сокіл» («Джура») (далі – Гра)</w:t>
      </w:r>
      <w:r>
        <w:rPr>
          <w:rFonts w:ascii="Times New Roman" w:hAnsi="Times New Roman"/>
          <w:sz w:val="28"/>
          <w:szCs w:val="28"/>
          <w:lang w:eastAsia="ar-SA"/>
        </w:rPr>
        <w:t xml:space="preserve"> у закладах </w:t>
      </w:r>
      <w:r>
        <w:rPr>
          <w:rFonts w:ascii="Times New Roman" w:hAnsi="Times New Roman"/>
          <w:sz w:val="28"/>
          <w:szCs w:val="28"/>
          <w:lang w:eastAsia="ar-SA"/>
        </w:rPr>
        <w:t xml:space="preserve">загальної середньої </w:t>
      </w:r>
      <w:r>
        <w:rPr>
          <w:rFonts w:ascii="Times New Roman" w:hAnsi="Times New Roman"/>
          <w:sz w:val="28"/>
          <w:szCs w:val="28"/>
          <w:lang w:eastAsia="ar-SA"/>
        </w:rPr>
        <w:t xml:space="preserve">освіти Менської міської ради</w:t>
      </w:r>
      <w:r>
        <w:rPr>
          <w:rFonts w:ascii="Times New Roman" w:hAnsi="Times New Roman"/>
          <w:sz w:val="28"/>
          <w:szCs w:val="28"/>
          <w:lang w:eastAsia="ar-SA"/>
        </w:rPr>
        <w:t xml:space="preserve">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</w: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1. Утворити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штаб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Менської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територіал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ьної громади з проведення у 202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5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/202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6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навчальному році Всеукраїнської дитячо-юнацької військово-патріотичної гри «Сокіл» («Джура»)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(далі – місцевий штаб)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.</w:t>
      </w:r>
      <w:r>
        <w:rPr>
          <w:rFonts w:ascii="Times New Roman" w:hAnsi="Times New Roman"/>
          <w:bCs/>
          <w:sz w:val="28"/>
          <w:szCs w:val="28"/>
          <w:lang w:eastAsia="ar-SA"/>
        </w:rPr>
      </w:r>
      <w:r>
        <w:rPr>
          <w:rFonts w:ascii="Times New Roman" w:hAnsi="Times New Roman"/>
          <w:bCs/>
          <w:sz w:val="28"/>
          <w:szCs w:val="28"/>
          <w:lang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Затвердити склад штабу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Менської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територіальної громади з проведення Всеукраїнської дитячо-юнацької військово-патріотичної гри «Сокіл» («Джура») згідно з додатком.</w:t>
      </w:r>
      <w:r>
        <w:rPr>
          <w:rFonts w:ascii="Times New Roman" w:hAnsi="Times New Roman"/>
          <w:bCs/>
          <w:sz w:val="28"/>
          <w:szCs w:val="28"/>
          <w:lang w:eastAsia="ar-SA"/>
        </w:rPr>
      </w:r>
      <w:r>
        <w:rPr>
          <w:rFonts w:ascii="Times New Roman" w:hAnsi="Times New Roman"/>
          <w:bCs/>
          <w:sz w:val="28"/>
          <w:szCs w:val="28"/>
          <w:lang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3.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Місцевому штабу для організації та належного проведення щорічного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I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місцевого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) етапу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Г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ри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:</w:t>
      </w:r>
      <w:r>
        <w:rPr>
          <w:rFonts w:ascii="Times New Roman" w:hAnsi="Times New Roman"/>
          <w:bCs/>
          <w:sz w:val="28"/>
          <w:szCs w:val="28"/>
          <w:lang w:eastAsia="ar-SA"/>
        </w:rPr>
      </w:r>
      <w:r>
        <w:rPr>
          <w:rFonts w:ascii="Times New Roman" w:hAnsi="Times New Roman"/>
          <w:bCs/>
          <w:sz w:val="28"/>
          <w:szCs w:val="28"/>
          <w:lang w:eastAsia="ar-SA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1) створити організаційний комітет.</w:t>
      </w:r>
      <w:r>
        <w:rPr>
          <w:rFonts w:ascii="Times New Roman" w:hAnsi="Times New Roman"/>
          <w:bCs/>
          <w:sz w:val="28"/>
          <w:szCs w:val="28"/>
          <w:lang w:eastAsia="ar-SA"/>
        </w:rPr>
      </w:r>
      <w:r>
        <w:rPr>
          <w:rFonts w:ascii="Times New Roman" w:hAnsi="Times New Roman"/>
          <w:bCs/>
          <w:sz w:val="28"/>
          <w:szCs w:val="28"/>
          <w:lang w:eastAsia="ar-SA"/>
        </w:rPr>
      </w:r>
    </w:p>
    <w:p>
      <w:pPr>
        <w:pStyle w:val="895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 голови з питань діяльності виконавчих органів ради Прищепу В.В.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5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5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5"/>
        <w:pBdr/>
        <w:tabs>
          <w:tab w:val="left" w:leader="none" w:pos="0"/>
          <w:tab w:val="left" w:leader="none" w:pos="993"/>
          <w:tab w:val="left" w:leader="none" w:pos="6520"/>
        </w:tabs>
        <w:spacing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7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w:rPr>
        <w:color w:val="000000" w:themeColor="text1"/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9554499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  <w:b w:val="0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7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2">
    <w:name w:val="Heading 1"/>
    <w:basedOn w:val="889"/>
    <w:next w:val="889"/>
    <w:link w:val="85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3">
    <w:name w:val="Heading 2"/>
    <w:basedOn w:val="889"/>
    <w:next w:val="889"/>
    <w:link w:val="85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4">
    <w:name w:val="Heading 3"/>
    <w:basedOn w:val="889"/>
    <w:next w:val="889"/>
    <w:link w:val="85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5">
    <w:name w:val="Heading 4"/>
    <w:basedOn w:val="889"/>
    <w:next w:val="889"/>
    <w:link w:val="85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6">
    <w:name w:val="Heading 5"/>
    <w:basedOn w:val="889"/>
    <w:next w:val="889"/>
    <w:link w:val="85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7">
    <w:name w:val="Heading 6"/>
    <w:basedOn w:val="889"/>
    <w:next w:val="889"/>
    <w:link w:val="85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8">
    <w:name w:val="Heading 7"/>
    <w:basedOn w:val="889"/>
    <w:next w:val="889"/>
    <w:link w:val="85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9">
    <w:name w:val="Heading 8"/>
    <w:basedOn w:val="889"/>
    <w:next w:val="889"/>
    <w:link w:val="85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0">
    <w:name w:val="Heading 9"/>
    <w:basedOn w:val="889"/>
    <w:next w:val="889"/>
    <w:link w:val="85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1">
    <w:name w:val="Heading 1 Char"/>
    <w:basedOn w:val="890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2">
    <w:name w:val="Heading 2 Char"/>
    <w:basedOn w:val="890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3">
    <w:name w:val="Heading 3 Char"/>
    <w:basedOn w:val="890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4">
    <w:name w:val="Heading 4 Char"/>
    <w:basedOn w:val="890"/>
    <w:link w:val="84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5">
    <w:name w:val="Heading 5 Char"/>
    <w:basedOn w:val="890"/>
    <w:link w:val="84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6">
    <w:name w:val="Heading 6 Char"/>
    <w:basedOn w:val="890"/>
    <w:link w:val="84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7">
    <w:name w:val="Heading 7 Char"/>
    <w:basedOn w:val="890"/>
    <w:link w:val="84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8">
    <w:name w:val="Heading 8 Char"/>
    <w:basedOn w:val="890"/>
    <w:link w:val="84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9 Char"/>
    <w:basedOn w:val="890"/>
    <w:link w:val="85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Title"/>
    <w:basedOn w:val="889"/>
    <w:next w:val="889"/>
    <w:link w:val="86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1">
    <w:name w:val="Title Char"/>
    <w:basedOn w:val="890"/>
    <w:link w:val="8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2">
    <w:name w:val="Subtitle"/>
    <w:basedOn w:val="889"/>
    <w:next w:val="889"/>
    <w:link w:val="86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3">
    <w:name w:val="Subtitle Char"/>
    <w:basedOn w:val="890"/>
    <w:link w:val="86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4">
    <w:name w:val="Quote"/>
    <w:basedOn w:val="889"/>
    <w:next w:val="889"/>
    <w:link w:val="86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5">
    <w:name w:val="Quote Char"/>
    <w:basedOn w:val="890"/>
    <w:link w:val="86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6">
    <w:name w:val="Intense Emphasis"/>
    <w:basedOn w:val="8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7">
    <w:name w:val="Intense Quote"/>
    <w:basedOn w:val="889"/>
    <w:next w:val="889"/>
    <w:link w:val="8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8">
    <w:name w:val="Intense Quote Char"/>
    <w:basedOn w:val="890"/>
    <w:link w:val="8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9">
    <w:name w:val="Intense Reference"/>
    <w:basedOn w:val="8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0">
    <w:name w:val="Subtle Emphasis"/>
    <w:basedOn w:val="8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90"/>
    <w:uiPriority w:val="20"/>
    <w:qFormat/>
    <w:pPr>
      <w:pBdr/>
      <w:spacing/>
      <w:ind/>
    </w:pPr>
    <w:rPr>
      <w:i/>
      <w:iCs/>
    </w:rPr>
  </w:style>
  <w:style w:type="character" w:styleId="872">
    <w:name w:val="Subtle Reference"/>
    <w:basedOn w:val="8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3">
    <w:name w:val="Book Title"/>
    <w:basedOn w:val="89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4">
    <w:name w:val="Header"/>
    <w:basedOn w:val="889"/>
    <w:link w:val="87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5">
    <w:name w:val="Header Char"/>
    <w:basedOn w:val="890"/>
    <w:link w:val="874"/>
    <w:uiPriority w:val="99"/>
    <w:pPr>
      <w:pBdr/>
      <w:spacing/>
      <w:ind/>
    </w:pPr>
  </w:style>
  <w:style w:type="paragraph" w:styleId="876">
    <w:name w:val="Footer"/>
    <w:basedOn w:val="889"/>
    <w:link w:val="8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7">
    <w:name w:val="Footer Char"/>
    <w:basedOn w:val="890"/>
    <w:link w:val="876"/>
    <w:uiPriority w:val="99"/>
    <w:pPr>
      <w:pBdr/>
      <w:spacing/>
      <w:ind/>
    </w:pPr>
  </w:style>
  <w:style w:type="paragraph" w:styleId="878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9">
    <w:name w:val="footnote text"/>
    <w:basedOn w:val="889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Footnote Text Char"/>
    <w:basedOn w:val="890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foot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89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>
    <w:name w:val="Endnote Text Char"/>
    <w:basedOn w:val="890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endnote reference"/>
    <w:basedOn w:val="890"/>
    <w:uiPriority w:val="99"/>
    <w:semiHidden/>
    <w:unhideWhenUsed/>
    <w:pPr>
      <w:pBdr/>
      <w:spacing/>
      <w:ind/>
    </w:pPr>
    <w:rPr>
      <w:vertAlign w:val="superscript"/>
    </w:rPr>
  </w:style>
  <w:style w:type="character" w:styleId="885">
    <w:name w:val="Hyperlink"/>
    <w:basedOn w:val="8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6">
    <w:name w:val="FollowedHyperlink"/>
    <w:basedOn w:val="8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character" w:styleId="890" w:default="1">
    <w:name w:val="Default Paragraph Font"/>
    <w:uiPriority w:val="1"/>
    <w:semiHidden/>
    <w:unhideWhenUsed/>
    <w:pPr>
      <w:pBdr/>
      <w:spacing/>
      <w:ind/>
    </w:pPr>
  </w:style>
  <w:style w:type="table" w:styleId="89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2" w:default="1">
    <w:name w:val="No List"/>
    <w:uiPriority w:val="99"/>
    <w:semiHidden/>
    <w:unhideWhenUsed/>
    <w:pPr>
      <w:pBdr/>
      <w:spacing/>
      <w:ind/>
    </w:pPr>
  </w:style>
  <w:style w:type="paragraph" w:styleId="893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894">
    <w:name w:val="List Paragraph"/>
    <w:basedOn w:val="889"/>
    <w:uiPriority w:val="34"/>
    <w:qFormat/>
    <w:pPr>
      <w:pBdr/>
      <w:spacing/>
      <w:ind w:left="720"/>
      <w:contextualSpacing w:val="true"/>
    </w:pPr>
    <w:rPr>
      <w:rFonts w:cs="Times New Roman"/>
      <w:lang w:val="ru-RU"/>
    </w:rPr>
  </w:style>
  <w:style w:type="paragraph" w:styleId="895" w:customStyle="1">
    <w:name w:val="Абзац списку1"/>
    <w:basedOn w:val="889"/>
    <w:pPr>
      <w:pBdr/>
      <w:spacing w:after="0" w:line="240" w:lineRule="auto"/>
      <w:ind w:left="720"/>
      <w:contextualSpacing w:val="true"/>
    </w:pPr>
    <w:rPr>
      <w:rFonts w:cs="Times New Roman"/>
      <w:sz w:val="20"/>
      <w:lang w:val="ru-RU" w:bidi="en-US"/>
    </w:rPr>
  </w:style>
  <w:style w:type="character" w:styleId="896">
    <w:name w:val="Strong"/>
    <w:basedOn w:val="890"/>
    <w:uiPriority w:val="22"/>
    <w:qFormat/>
    <w:pPr>
      <w:pBdr/>
      <w:spacing/>
      <w:ind/>
    </w:pPr>
    <w:rPr>
      <w:b/>
      <w:bCs/>
    </w:rPr>
  </w:style>
  <w:style w:type="paragraph" w:styleId="897">
    <w:name w:val="Balloon Text"/>
    <w:basedOn w:val="889"/>
    <w:link w:val="89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8" w:customStyle="1">
    <w:name w:val="Текст у виносці Знак"/>
    <w:basedOn w:val="890"/>
    <w:link w:val="897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uk-UA"/>
    </w:rPr>
  </w:style>
  <w:style w:type="table" w:styleId="899">
    <w:name w:val="Table Grid"/>
    <w:basedOn w:val="89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Четвертакова Наталія Вікторівна</cp:lastModifiedBy>
  <cp:revision>17</cp:revision>
  <dcterms:created xsi:type="dcterms:W3CDTF">2022-01-12T09:31:00Z</dcterms:created>
  <dcterms:modified xsi:type="dcterms:W3CDTF">2025-10-14T06:33:00Z</dcterms:modified>
</cp:coreProperties>
</file>