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 вересня 2025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262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1428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 жовтня 2022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357 “Про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міську комісію з питань техногенно-екологічної безпеки та надзвичайних ситуацій”</w:t>
      </w:r>
      <w:r>
        <w:rPr>
          <w:rFonts w:ascii="Times New Roman" w:hAnsi="Times New Roman"/>
          <w:color w:val="000000"/>
          <w:sz w:val="28"/>
          <w:szCs w:val="28"/>
        </w:rPr>
        <w:t xml:space="preserve">,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65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ради 8 скликання від 2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530</w:t>
      </w:r>
      <w:r>
        <w:rPr>
          <w:rFonts w:ascii="Times New Roman" w:hAnsi="Times New Roman"/>
          <w:color w:val="000000"/>
          <w:sz w:val="28"/>
          <w:szCs w:val="28"/>
        </w:rPr>
        <w:t xml:space="preserve"> “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 357”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місцеве самоврядування в Україні», у зв’язку з кадровими змінами: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850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персональний скл</w:t>
      </w:r>
      <w:r>
        <w:rPr>
          <w:rFonts w:ascii="Times New Roman" w:hAnsi="Times New Roman"/>
          <w:color w:val="000000"/>
          <w:sz w:val="28"/>
          <w:szCs w:val="28"/>
        </w:rPr>
        <w:t xml:space="preserve">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85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402"/>
        <w:gridCol w:w="5811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АНДРІЄНКО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Дмитрівна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БЕЛАШКО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ВІЛЬЧИНСЬКИЙ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Ярослав Олегович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 начальника відділення поліції № 1 Корюківського районного відділу поліції ГУНП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БУТЕНКО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Микола Олексійович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11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ПЕТРИК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алерійович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сектору №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цивільного захисту та превентивної 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ДУДКО 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начальник дільниці мережі доступу № 324/3 м</w:t>
            </w:r>
            <w:r>
              <w:rPr>
                <w:rFonts w:ascii="Times New Roman" w:hAnsi="Times New Roman" w:eastAsia="Times New Roman"/>
                <w:sz w:val="28"/>
              </w:rPr>
              <w:t xml:space="preserve">. Мена Чернігівської філії публічного акціонерного товариства «Укртелеком» (за згодою);</w:t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5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</w:t>
      </w:r>
      <w:r>
        <w:rPr>
          <w:rFonts w:ascii="Times New Roman" w:hAnsi="Times New Roman"/>
          <w:color w:val="000000"/>
          <w:sz w:val="28"/>
          <w:szCs w:val="28"/>
        </w:rPr>
        <w:t xml:space="preserve">о чинність, розпорядження від 03 квітня 2025 року № 82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затвердження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before="17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character" w:styleId="722">
    <w:name w:val="Intense Emphasis"/>
    <w:basedOn w:val="71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3">
    <w:name w:val="Intense Reference"/>
    <w:basedOn w:val="71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4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719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71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0" w:customStyle="1">
    <w:name w:val="Heading 1 Char"/>
    <w:basedOn w:val="719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19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2" w:customStyle="1">
    <w:name w:val="Heading 3 Char"/>
    <w:basedOn w:val="719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9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9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9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19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19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19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19"/>
    <w:link w:val="767"/>
    <w:uiPriority w:val="10"/>
    <w:pPr>
      <w:pBdr/>
      <w:spacing/>
      <w:ind/>
    </w:pPr>
    <w:rPr>
      <w:sz w:val="48"/>
      <w:szCs w:val="48"/>
    </w:rPr>
  </w:style>
  <w:style w:type="character" w:styleId="740" w:customStyle="1">
    <w:name w:val="Subtitle Char"/>
    <w:basedOn w:val="719"/>
    <w:link w:val="769"/>
    <w:uiPriority w:val="11"/>
    <w:pPr>
      <w:pBdr/>
      <w:spacing/>
      <w:ind/>
    </w:pPr>
    <w:rPr>
      <w:sz w:val="24"/>
      <w:szCs w:val="24"/>
    </w:rPr>
  </w:style>
  <w:style w:type="character" w:styleId="741" w:customStyle="1">
    <w:name w:val="Quote Char"/>
    <w:link w:val="771"/>
    <w:uiPriority w:val="29"/>
    <w:pPr>
      <w:pBdr/>
      <w:spacing/>
      <w:ind/>
    </w:pPr>
    <w:rPr>
      <w:i/>
    </w:rPr>
  </w:style>
  <w:style w:type="character" w:styleId="742" w:customStyle="1">
    <w:name w:val="Intense Quote Char"/>
    <w:link w:val="773"/>
    <w:uiPriority w:val="30"/>
    <w:pPr>
      <w:pBdr/>
      <w:spacing/>
      <w:ind/>
    </w:pPr>
    <w:rPr>
      <w:i/>
    </w:rPr>
  </w:style>
  <w:style w:type="character" w:styleId="743" w:customStyle="1">
    <w:name w:val="Header Char"/>
    <w:basedOn w:val="719"/>
    <w:link w:val="775"/>
    <w:uiPriority w:val="99"/>
    <w:pPr>
      <w:pBdr/>
      <w:spacing/>
      <w:ind/>
    </w:pPr>
  </w:style>
  <w:style w:type="character" w:styleId="744" w:customStyle="1">
    <w:name w:val="Caption Char"/>
    <w:link w:val="777"/>
    <w:uiPriority w:val="99"/>
    <w:pPr>
      <w:pBdr/>
      <w:spacing/>
      <w:ind/>
    </w:pPr>
  </w:style>
  <w:style w:type="character" w:styleId="745" w:customStyle="1">
    <w:name w:val="Footnote Text Char"/>
    <w:link w:val="908"/>
    <w:uiPriority w:val="99"/>
    <w:pPr>
      <w:pBdr/>
      <w:spacing/>
      <w:ind/>
    </w:pPr>
    <w:rPr>
      <w:sz w:val="18"/>
    </w:rPr>
  </w:style>
  <w:style w:type="character" w:styleId="746" w:customStyle="1">
    <w:name w:val="Endnote Text Char"/>
    <w:link w:val="911"/>
    <w:uiPriority w:val="99"/>
    <w:pPr>
      <w:pBdr/>
      <w:spacing/>
      <w:ind/>
    </w:pPr>
    <w:rPr>
      <w:sz w:val="20"/>
    </w:rPr>
  </w:style>
  <w:style w:type="paragraph" w:styleId="747" w:customStyle="1">
    <w:name w:val="Heading 1"/>
    <w:basedOn w:val="718"/>
    <w:next w:val="718"/>
    <w:link w:val="756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48" w:customStyle="1">
    <w:name w:val="Heading 2"/>
    <w:basedOn w:val="718"/>
    <w:next w:val="718"/>
    <w:link w:val="757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49" w:customStyle="1">
    <w:name w:val="Heading 3"/>
    <w:basedOn w:val="718"/>
    <w:next w:val="718"/>
    <w:link w:val="758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0" w:customStyle="1">
    <w:name w:val="Heading 4"/>
    <w:basedOn w:val="718"/>
    <w:next w:val="718"/>
    <w:link w:val="759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1" w:customStyle="1">
    <w:name w:val="Heading 5"/>
    <w:basedOn w:val="718"/>
    <w:next w:val="718"/>
    <w:link w:val="760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2" w:customStyle="1">
    <w:name w:val="Heading 6"/>
    <w:basedOn w:val="718"/>
    <w:next w:val="718"/>
    <w:link w:val="761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3" w:customStyle="1">
    <w:name w:val="Heading 7"/>
    <w:basedOn w:val="718"/>
    <w:next w:val="718"/>
    <w:link w:val="762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4" w:customStyle="1">
    <w:name w:val="Heading 8"/>
    <w:basedOn w:val="718"/>
    <w:next w:val="718"/>
    <w:link w:val="763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55" w:customStyle="1">
    <w:name w:val="Heading 9"/>
    <w:basedOn w:val="718"/>
    <w:next w:val="718"/>
    <w:link w:val="764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6" w:customStyle="1">
    <w:name w:val="Заголовок 1 Знак"/>
    <w:basedOn w:val="719"/>
    <w:link w:val="747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57" w:customStyle="1">
    <w:name w:val="Заголовок 2 Знак"/>
    <w:basedOn w:val="719"/>
    <w:link w:val="748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58" w:customStyle="1">
    <w:name w:val="Заголовок 3 Знак"/>
    <w:basedOn w:val="719"/>
    <w:link w:val="749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59" w:customStyle="1">
    <w:name w:val="Заголовок 4 Знак"/>
    <w:basedOn w:val="719"/>
    <w:link w:val="750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60" w:customStyle="1">
    <w:name w:val="Заголовок 5 Знак"/>
    <w:basedOn w:val="719"/>
    <w:link w:val="751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61" w:customStyle="1">
    <w:name w:val="Заголовок 6 Знак"/>
    <w:basedOn w:val="719"/>
    <w:link w:val="752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62" w:customStyle="1">
    <w:name w:val="Заголовок 7 Знак"/>
    <w:basedOn w:val="719"/>
    <w:link w:val="753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19"/>
    <w:link w:val="754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64" w:customStyle="1">
    <w:name w:val="Заголовок 9 Знак"/>
    <w:basedOn w:val="719"/>
    <w:link w:val="755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65">
    <w:name w:val="List Paragraph"/>
    <w:basedOn w:val="718"/>
    <w:uiPriority w:val="99"/>
    <w:qFormat/>
    <w:pPr>
      <w:pBdr/>
      <w:spacing/>
      <w:ind w:left="720"/>
      <w:contextualSpacing w:val="true"/>
    </w:pPr>
  </w:style>
  <w:style w:type="paragraph" w:styleId="766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67">
    <w:name w:val="Title"/>
    <w:basedOn w:val="718"/>
    <w:next w:val="718"/>
    <w:link w:val="768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8" w:customStyle="1">
    <w:name w:val="Название Знак"/>
    <w:basedOn w:val="719"/>
    <w:link w:val="767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69">
    <w:name w:val="Subtitle"/>
    <w:basedOn w:val="718"/>
    <w:next w:val="718"/>
    <w:link w:val="770"/>
    <w:uiPriority w:val="99"/>
    <w:qFormat/>
    <w:pPr>
      <w:pBdr/>
      <w:spacing w:before="200"/>
      <w:ind/>
    </w:pPr>
    <w:rPr>
      <w:sz w:val="24"/>
      <w:szCs w:val="24"/>
    </w:rPr>
  </w:style>
  <w:style w:type="character" w:styleId="770" w:customStyle="1">
    <w:name w:val="Подзаголовок Знак"/>
    <w:basedOn w:val="719"/>
    <w:link w:val="769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71">
    <w:name w:val="Quote"/>
    <w:basedOn w:val="718"/>
    <w:next w:val="718"/>
    <w:link w:val="772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72" w:customStyle="1">
    <w:name w:val="Цитата 2 Знак"/>
    <w:basedOn w:val="719"/>
    <w:link w:val="771"/>
    <w:uiPriority w:val="99"/>
    <w:pPr>
      <w:pBdr/>
      <w:spacing/>
      <w:ind/>
    </w:pPr>
    <w:rPr>
      <w:i/>
    </w:rPr>
  </w:style>
  <w:style w:type="paragraph" w:styleId="773">
    <w:name w:val="Intense Quote"/>
    <w:basedOn w:val="718"/>
    <w:next w:val="718"/>
    <w:link w:val="774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74" w:customStyle="1">
    <w:name w:val="Выделенная цитата Знак"/>
    <w:basedOn w:val="719"/>
    <w:link w:val="773"/>
    <w:uiPriority w:val="99"/>
    <w:pPr>
      <w:pBdr/>
      <w:spacing/>
      <w:ind/>
    </w:pPr>
    <w:rPr>
      <w:i/>
    </w:rPr>
  </w:style>
  <w:style w:type="paragraph" w:styleId="775" w:customStyle="1">
    <w:name w:val="Header"/>
    <w:basedOn w:val="718"/>
    <w:link w:val="77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Верхний колонтитул Знак"/>
    <w:basedOn w:val="719"/>
    <w:link w:val="775"/>
    <w:uiPriority w:val="99"/>
    <w:pPr>
      <w:pBdr/>
      <w:spacing/>
      <w:ind/>
    </w:pPr>
    <w:rPr>
      <w:rFonts w:cs="Times New Roman"/>
    </w:rPr>
  </w:style>
  <w:style w:type="paragraph" w:styleId="777" w:customStyle="1">
    <w:name w:val="Footer"/>
    <w:basedOn w:val="718"/>
    <w:link w:val="78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 w:customStyle="1">
    <w:name w:val="Footer Char"/>
    <w:basedOn w:val="719"/>
    <w:link w:val="777"/>
    <w:uiPriority w:val="99"/>
    <w:pPr>
      <w:pBdr/>
      <w:spacing/>
      <w:ind/>
    </w:pPr>
    <w:rPr>
      <w:rFonts w:cs="Times New Roman"/>
    </w:rPr>
  </w:style>
  <w:style w:type="paragraph" w:styleId="779" w:customStyle="1">
    <w:name w:val="Caption"/>
    <w:basedOn w:val="718"/>
    <w:next w:val="718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80" w:customStyle="1">
    <w:name w:val="Нижни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20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basedOn w:val="719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08">
    <w:name w:val="footnote text"/>
    <w:basedOn w:val="718"/>
    <w:link w:val="909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09" w:customStyle="1">
    <w:name w:val="Текст сноски Знак"/>
    <w:basedOn w:val="719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19"/>
    <w:uiPriority w:val="99"/>
    <w:pPr>
      <w:pBdr/>
      <w:spacing/>
      <w:ind/>
    </w:pPr>
    <w:rPr>
      <w:rFonts w:cs="Times New Roman"/>
      <w:vertAlign w:val="superscript"/>
    </w:rPr>
  </w:style>
  <w:style w:type="paragraph" w:styleId="911">
    <w:name w:val="endnote text"/>
    <w:basedOn w:val="718"/>
    <w:link w:val="912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12" w:customStyle="1">
    <w:name w:val="Текст концевой сноски Знак"/>
    <w:basedOn w:val="719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19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14">
    <w:name w:val="toc 1"/>
    <w:basedOn w:val="718"/>
    <w:next w:val="718"/>
    <w:uiPriority w:val="99"/>
    <w:pPr>
      <w:pBdr/>
      <w:spacing w:after="57"/>
      <w:ind/>
    </w:pPr>
  </w:style>
  <w:style w:type="paragraph" w:styleId="915">
    <w:name w:val="toc 2"/>
    <w:basedOn w:val="718"/>
    <w:next w:val="718"/>
    <w:uiPriority w:val="99"/>
    <w:pPr>
      <w:pBdr/>
      <w:spacing w:after="57"/>
      <w:ind w:left="283"/>
    </w:pPr>
  </w:style>
  <w:style w:type="paragraph" w:styleId="916">
    <w:name w:val="toc 3"/>
    <w:basedOn w:val="718"/>
    <w:next w:val="718"/>
    <w:uiPriority w:val="99"/>
    <w:pPr>
      <w:pBdr/>
      <w:spacing w:after="57"/>
      <w:ind w:left="567"/>
    </w:pPr>
  </w:style>
  <w:style w:type="paragraph" w:styleId="917">
    <w:name w:val="toc 4"/>
    <w:basedOn w:val="718"/>
    <w:next w:val="718"/>
    <w:uiPriority w:val="99"/>
    <w:pPr>
      <w:pBdr/>
      <w:spacing w:after="57"/>
      <w:ind w:left="850"/>
    </w:pPr>
  </w:style>
  <w:style w:type="paragraph" w:styleId="918">
    <w:name w:val="toc 5"/>
    <w:basedOn w:val="718"/>
    <w:next w:val="718"/>
    <w:uiPriority w:val="99"/>
    <w:pPr>
      <w:pBdr/>
      <w:spacing w:after="57"/>
      <w:ind w:left="1134"/>
    </w:pPr>
  </w:style>
  <w:style w:type="paragraph" w:styleId="919">
    <w:name w:val="toc 6"/>
    <w:basedOn w:val="718"/>
    <w:next w:val="718"/>
    <w:uiPriority w:val="99"/>
    <w:pPr>
      <w:pBdr/>
      <w:spacing w:after="57"/>
      <w:ind w:left="1417"/>
    </w:pPr>
  </w:style>
  <w:style w:type="paragraph" w:styleId="920">
    <w:name w:val="toc 7"/>
    <w:basedOn w:val="718"/>
    <w:next w:val="718"/>
    <w:uiPriority w:val="99"/>
    <w:pPr>
      <w:pBdr/>
      <w:spacing w:after="57"/>
      <w:ind w:left="1701"/>
    </w:pPr>
  </w:style>
  <w:style w:type="paragraph" w:styleId="921">
    <w:name w:val="toc 8"/>
    <w:basedOn w:val="718"/>
    <w:next w:val="718"/>
    <w:uiPriority w:val="99"/>
    <w:pPr>
      <w:pBdr/>
      <w:spacing w:after="57"/>
      <w:ind w:left="1984"/>
    </w:pPr>
  </w:style>
  <w:style w:type="paragraph" w:styleId="922">
    <w:name w:val="toc 9"/>
    <w:basedOn w:val="718"/>
    <w:next w:val="718"/>
    <w:uiPriority w:val="99"/>
    <w:pPr>
      <w:pBdr/>
      <w:spacing w:after="57"/>
      <w:ind w:left="2268"/>
    </w:pPr>
  </w:style>
  <w:style w:type="paragraph" w:styleId="923">
    <w:name w:val="TOC Heading"/>
    <w:basedOn w:val="747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24">
    <w:name w:val="table of figures"/>
    <w:basedOn w:val="718"/>
    <w:next w:val="718"/>
    <w:uiPriority w:val="99"/>
    <w:pPr>
      <w:pBdr/>
      <w:spacing w:after="0"/>
      <w:ind/>
    </w:pPr>
  </w:style>
  <w:style w:type="paragraph" w:styleId="925" w:customStyle="1">
    <w:name w:val="docdata"/>
    <w:basedOn w:val="71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26">
    <w:name w:val="Normal (Web)"/>
    <w:basedOn w:val="71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27" w:customStyle="1">
    <w:name w:val="Header"/>
    <w:basedOn w:val="718"/>
    <w:link w:val="92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8" w:customStyle="1">
    <w:name w:val="Верхний колонтитул Знак1"/>
    <w:basedOn w:val="719"/>
    <w:link w:val="927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29" w:customStyle="1">
    <w:name w:val="Footer"/>
    <w:basedOn w:val="718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Нижний колонтитул Знак1"/>
    <w:basedOn w:val="719"/>
    <w:link w:val="929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38</cp:revision>
  <dcterms:created xsi:type="dcterms:W3CDTF">2022-10-19T08:53:00Z</dcterms:created>
  <dcterms:modified xsi:type="dcterms:W3CDTF">2025-09-29T09:43:18Z</dcterms:modified>
</cp:coreProperties>
</file>