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9"/>
        <w:pBdr/>
        <w:spacing w:after="113" w:afterAutospacing="0" w:before="0" w:before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вересня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579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Капран Валентина Миколаївна</w:t>
        <w:tab/>
        <w:t xml:space="preserve">1,9738 га</w:t>
        <w:tab/>
        <w:t xml:space="preserve">7423084500:04:000:0956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before="113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Куковичі: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Капран Валентина Миколаївна</w:t>
        <w:tab/>
        <w:t xml:space="preserve">0,4093 га</w:t>
        <w:tab/>
        <w:t xml:space="preserve">7423085000:08:000:0782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 w:before="113" w:before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межами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селища Макошине: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Люшньова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Фаїна Іванівна</w:t>
        <w:tab/>
        <w:t xml:space="preserve">2,0155 га</w:t>
        <w:tab/>
        <w:t xml:space="preserve">7423055700:05:000:1079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2025-09-25T15:30:01Z</dcterms:modified>
</cp:coreProperties>
</file>