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3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18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верес</w:t>
      </w:r>
      <w:r>
        <w:rPr>
          <w:rFonts w:cs="Mangal"/>
          <w:color w:val="000000" w:themeColor="text1"/>
          <w:szCs w:val="28"/>
          <w:lang w:eastAsia="hi-IN" w:bidi="hi-IN"/>
        </w:rPr>
        <w:t xml:space="preserve">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254</w:t>
      </w:r>
      <w:bookmarkStart w:id="0" w:name="_GoBack"/>
      <w:r/>
      <w:bookmarkEnd w:id="0"/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Bdr/>
        <w:spacing/>
        <w:ind w:right="5386" w:firstLine="567" w:left="0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  <w:r>
        <w:rPr>
          <w:b/>
          <w:bCs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72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/>
      <w:bookmarkStart w:id="1" w:name="_Hlk203473080"/>
      <w:r>
        <w:rPr>
          <w:szCs w:val="28"/>
        </w:rPr>
        <w:t xml:space="preserve">Внести зміни до помісячного розпису видатків загального </w:t>
      </w:r>
      <w:r>
        <w:rPr>
          <w:szCs w:val="28"/>
        </w:rPr>
        <w:t xml:space="preserve">фонду Відділу освіти Менської міської ради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972"/>
        <w:numPr>
          <w:ilvl w:val="0"/>
          <w:numId w:val="31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 з н</w:t>
      </w:r>
      <w:r>
        <w:rPr>
          <w:szCs w:val="28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szCs w:val="28"/>
        </w:rPr>
        <w:t xml:space="preserve">:</w:t>
      </w:r>
      <w:r>
        <w:rPr>
          <w:szCs w:val="28"/>
        </w:rPr>
        <w:t xml:space="preserve"> зменшити кошторисні призначення для </w:t>
      </w:r>
      <w:r>
        <w:rPr>
          <w:szCs w:val="28"/>
        </w:rPr>
        <w:t xml:space="preserve">оплати за природний газ</w:t>
      </w:r>
      <w:r>
        <w:rPr>
          <w:szCs w:val="28"/>
        </w:rPr>
        <w:t xml:space="preserve"> у грудні місяці на суму </w:t>
      </w:r>
      <w:r>
        <w:rPr>
          <w:szCs w:val="28"/>
        </w:rPr>
        <w:t xml:space="preserve">5</w:t>
      </w:r>
      <w:r>
        <w:rPr>
          <w:szCs w:val="28"/>
        </w:rPr>
        <w:t xml:space="preserve">00,00 грн., </w:t>
      </w:r>
      <w:r>
        <w:rPr>
          <w:szCs w:val="28"/>
        </w:rPr>
        <w:t xml:space="preserve">відповідно збільшити кошторисні призначення за вказаним напрямком у </w:t>
      </w:r>
      <w:r>
        <w:rPr>
          <w:szCs w:val="28"/>
        </w:rPr>
        <w:t xml:space="preserve">вересні </w:t>
      </w:r>
      <w:r>
        <w:rPr>
          <w:szCs w:val="28"/>
        </w:rPr>
        <w:t xml:space="preserve">місяці на </w:t>
      </w:r>
      <w:r>
        <w:rPr>
          <w:szCs w:val="28"/>
        </w:rPr>
        <w:t xml:space="preserve">таку ж </w:t>
      </w:r>
      <w:r>
        <w:rPr>
          <w:szCs w:val="28"/>
        </w:rPr>
        <w:t xml:space="preserve">суму (</w:t>
      </w:r>
      <w:r>
        <w:rPr>
          <w:szCs w:val="28"/>
        </w:rPr>
        <w:t xml:space="preserve">Синявський</w:t>
      </w:r>
      <w:r>
        <w:rPr>
          <w:szCs w:val="28"/>
        </w:rPr>
        <w:t xml:space="preserve"> ЗЗСО </w:t>
      </w:r>
      <w:r>
        <w:rPr>
          <w:szCs w:val="28"/>
          <w:lang w:val="en-US"/>
        </w:rPr>
        <w:t xml:space="preserve">I</w:t>
      </w:r>
      <w:r>
        <w:rPr>
          <w:szCs w:val="28"/>
        </w:rPr>
        <w:t xml:space="preserve">-</w:t>
      </w:r>
      <w:r>
        <w:rPr>
          <w:szCs w:val="28"/>
          <w:lang w:val="en-US"/>
        </w:rPr>
        <w:t xml:space="preserve">III</w:t>
      </w:r>
      <w:r>
        <w:rPr>
          <w:szCs w:val="28"/>
        </w:rPr>
        <w:t xml:space="preserve"> ст.</w:t>
      </w:r>
      <w:r>
        <w:rPr>
          <w:szCs w:val="28"/>
        </w:rPr>
        <w:t xml:space="preserve"> </w:t>
      </w:r>
      <w:r>
        <w:rPr>
          <w:szCs w:val="28"/>
        </w:rPr>
        <w:t xml:space="preserve">та </w:t>
      </w:r>
      <w:r>
        <w:rPr>
          <w:szCs w:val="28"/>
        </w:rPr>
        <w:t xml:space="preserve">Феськівська</w:t>
      </w:r>
      <w:r>
        <w:rPr>
          <w:szCs w:val="28"/>
        </w:rPr>
        <w:t xml:space="preserve"> гімназія Менської міської ради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0611021 КЕКВ 22</w:t>
      </w:r>
      <w:r>
        <w:rPr>
          <w:szCs w:val="28"/>
        </w:rPr>
        <w:t xml:space="preserve">74</w:t>
      </w:r>
      <w:r>
        <w:rPr>
          <w:szCs w:val="28"/>
        </w:rPr>
        <w:t xml:space="preserve">);</w:t>
      </w:r>
      <w:r>
        <w:rPr>
          <w:szCs w:val="28"/>
        </w:rPr>
      </w:r>
      <w:r>
        <w:rPr>
          <w:szCs w:val="28"/>
        </w:rPr>
      </w:r>
    </w:p>
    <w:p>
      <w:pPr>
        <w:pStyle w:val="972"/>
        <w:numPr>
          <w:ilvl w:val="0"/>
          <w:numId w:val="31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з н</w:t>
      </w:r>
      <w:r>
        <w:rPr>
          <w:szCs w:val="28"/>
        </w:rPr>
        <w:t xml:space="preserve">адання </w:t>
      </w:r>
      <w:r>
        <w:rPr>
          <w:szCs w:val="28"/>
        </w:rPr>
        <w:t xml:space="preserve">дошкільної освіти</w:t>
      </w:r>
      <w:r>
        <w:rPr>
          <w:szCs w:val="28"/>
        </w:rPr>
        <w:t xml:space="preserve">:</w:t>
      </w:r>
      <w:r>
        <w:rPr>
          <w:szCs w:val="28"/>
        </w:rPr>
        <w:t xml:space="preserve"> зменшити кошторисні призначення для </w:t>
      </w:r>
      <w:r>
        <w:rPr>
          <w:szCs w:val="28"/>
        </w:rPr>
        <w:t xml:space="preserve">оплати за електроенергію</w:t>
      </w:r>
      <w:r>
        <w:rPr>
          <w:szCs w:val="28"/>
        </w:rPr>
        <w:t xml:space="preserve"> на суму </w:t>
      </w:r>
      <w:r>
        <w:rPr>
          <w:szCs w:val="28"/>
        </w:rPr>
        <w:t xml:space="preserve">5</w:t>
      </w:r>
      <w:r>
        <w:rPr>
          <w:szCs w:val="28"/>
        </w:rPr>
        <w:t xml:space="preserve">00,00 грн. у листопаді місяці,</w:t>
      </w:r>
      <w:r>
        <w:rPr>
          <w:szCs w:val="28"/>
        </w:rPr>
        <w:t xml:space="preserve"> відповідно збільшити кошторисні призначення </w:t>
      </w:r>
      <w:r>
        <w:rPr>
          <w:szCs w:val="28"/>
        </w:rPr>
        <w:t xml:space="preserve">за вказаним напрямком у </w:t>
      </w:r>
      <w:r>
        <w:rPr>
          <w:szCs w:val="28"/>
        </w:rPr>
        <w:t xml:space="preserve">вересні</w:t>
      </w:r>
      <w:r>
        <w:rPr>
          <w:szCs w:val="28"/>
        </w:rPr>
        <w:t xml:space="preserve"> місяці на </w:t>
      </w:r>
      <w:r>
        <w:rPr>
          <w:szCs w:val="28"/>
        </w:rPr>
        <w:t xml:space="preserve">таку ж </w:t>
      </w:r>
      <w:r>
        <w:rPr>
          <w:szCs w:val="28"/>
        </w:rPr>
        <w:t xml:space="preserve">суму (</w:t>
      </w:r>
      <w:r>
        <w:rPr>
          <w:szCs w:val="28"/>
        </w:rPr>
        <w:t xml:space="preserve">Блистівський</w:t>
      </w:r>
      <w:r>
        <w:rPr>
          <w:szCs w:val="28"/>
        </w:rPr>
        <w:t xml:space="preserve"> ЗДО «</w:t>
      </w:r>
      <w:r>
        <w:rPr>
          <w:szCs w:val="28"/>
        </w:rPr>
        <w:t xml:space="preserve">Ромашка</w:t>
      </w:r>
      <w:r>
        <w:rPr>
          <w:szCs w:val="28"/>
        </w:rPr>
        <w:t xml:space="preserve">»)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</w:t>
      </w:r>
      <w:r>
        <w:rPr>
          <w:szCs w:val="28"/>
        </w:rPr>
        <w:t xml:space="preserve">0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 КЕКВ </w:t>
      </w:r>
      <w:r>
        <w:rPr>
          <w:szCs w:val="28"/>
        </w:rPr>
        <w:t xml:space="preserve">22</w:t>
      </w:r>
      <w:r>
        <w:rPr>
          <w:szCs w:val="28"/>
        </w:rPr>
        <w:t xml:space="preserve">73</w:t>
      </w:r>
      <w:r>
        <w:rPr>
          <w:szCs w:val="28"/>
        </w:rPr>
        <w:t xml:space="preserve">)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72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Відділу освіти Менської міської ради з надання дошкільної освіти: зменшити кошторисні призначення для </w:t>
      </w:r>
      <w:r>
        <w:rPr>
          <w:szCs w:val="28"/>
        </w:rPr>
        <w:t xml:space="preserve">оплати </w:t>
      </w:r>
      <w:r>
        <w:rPr>
          <w:szCs w:val="28"/>
        </w:rPr>
        <w:t xml:space="preserve"> </w:t>
      </w:r>
      <w:r>
        <w:rPr>
          <w:szCs w:val="28"/>
        </w:rPr>
        <w:t xml:space="preserve"> інших енергоносіїв та інших комунальних послуг</w:t>
      </w:r>
      <w:r>
        <w:rPr>
          <w:szCs w:val="28"/>
        </w:rPr>
        <w:t xml:space="preserve"> </w:t>
      </w:r>
      <w:r>
        <w:rPr>
          <w:szCs w:val="28"/>
        </w:rPr>
        <w:t xml:space="preserve">на суму </w:t>
      </w:r>
      <w:r>
        <w:rPr>
          <w:szCs w:val="28"/>
        </w:rPr>
        <w:t xml:space="preserve">7</w:t>
      </w:r>
      <w:r>
        <w:rPr>
          <w:szCs w:val="28"/>
        </w:rPr>
        <w:t xml:space="preserve"> </w:t>
      </w:r>
      <w:r>
        <w:rPr>
          <w:szCs w:val="28"/>
        </w:rPr>
        <w:t xml:space="preserve">100</w:t>
      </w:r>
      <w:r>
        <w:rPr>
          <w:szCs w:val="28"/>
        </w:rPr>
        <w:t xml:space="preserve">,00 грн., відповідно збільшити кошторисні призначення для </w:t>
      </w:r>
      <w:r>
        <w:rPr>
          <w:szCs w:val="28"/>
        </w:rPr>
        <w:t xml:space="preserve">оплати послуг (крім комунальних)</w:t>
      </w:r>
      <w:r>
        <w:rPr>
          <w:szCs w:val="28"/>
        </w:rPr>
        <w:t xml:space="preserve"> на таку ж суму (</w:t>
      </w:r>
      <w:r>
        <w:rPr>
          <w:szCs w:val="28"/>
        </w:rPr>
        <w:t xml:space="preserve">для оплати послуг з проведення бактеріологічних, санітарно-хімічних досліджень води, пос</w:t>
      </w:r>
      <w:r>
        <w:rPr>
          <w:szCs w:val="28"/>
        </w:rPr>
        <w:t xml:space="preserve">луги з адаптації  робочих місць кухаря та машиніста з прання по </w:t>
      </w:r>
      <w:r>
        <w:rPr>
          <w:szCs w:val="28"/>
        </w:rPr>
        <w:t xml:space="preserve">М</w:t>
      </w:r>
      <w:r>
        <w:rPr>
          <w:szCs w:val="28"/>
        </w:rPr>
        <w:t xml:space="preserve">акошинському</w:t>
      </w:r>
      <w:r>
        <w:rPr>
          <w:szCs w:val="28"/>
        </w:rPr>
        <w:t xml:space="preserve"> </w:t>
      </w:r>
      <w:r>
        <w:rPr>
          <w:szCs w:val="28"/>
        </w:rPr>
        <w:t xml:space="preserve"> ЗДО «Сонечко»)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0611010 КЕКВ 22</w:t>
      </w:r>
      <w:r>
        <w:rPr>
          <w:szCs w:val="28"/>
        </w:rPr>
        <w:t xml:space="preserve">75</w:t>
      </w:r>
      <w:r>
        <w:rPr>
          <w:szCs w:val="28"/>
        </w:rPr>
        <w:t xml:space="preserve"> -</w:t>
      </w:r>
      <w:r>
        <w:rPr>
          <w:szCs w:val="28"/>
        </w:rPr>
        <w:t xml:space="preserve">7</w:t>
      </w:r>
      <w:r>
        <w:rPr>
          <w:szCs w:val="28"/>
        </w:rPr>
        <w:t xml:space="preserve"> </w:t>
      </w:r>
      <w:r>
        <w:rPr>
          <w:szCs w:val="28"/>
        </w:rPr>
        <w:t xml:space="preserve">10</w:t>
      </w:r>
      <w:r>
        <w:rPr>
          <w:szCs w:val="28"/>
        </w:rPr>
        <w:t xml:space="preserve">0,00 грн., КЕКВ 2</w:t>
      </w:r>
      <w:r>
        <w:rPr>
          <w:szCs w:val="28"/>
        </w:rPr>
        <w:t xml:space="preserve">240 +7</w:t>
      </w:r>
      <w:r>
        <w:rPr>
          <w:szCs w:val="28"/>
        </w:rPr>
        <w:t xml:space="preserve"> 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0,00 грн.).</w:t>
      </w:r>
      <w:r>
        <w:rPr>
          <w:szCs w:val="28"/>
        </w:rPr>
      </w:r>
      <w:r>
        <w:rPr>
          <w:szCs w:val="28"/>
        </w:rPr>
      </w:r>
    </w:p>
    <w:p>
      <w:pPr>
        <w:pStyle w:val="972"/>
        <w:numPr>
          <w:ilvl w:val="0"/>
          <w:numId w:val="30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Відділу соціального захист</w:t>
      </w:r>
      <w:r>
        <w:rPr>
          <w:szCs w:val="28"/>
        </w:rPr>
        <w:t xml:space="preserve">у населення та охорони здоров’я</w:t>
      </w:r>
      <w:r>
        <w:rPr>
          <w:szCs w:val="28"/>
        </w:rPr>
        <w:t xml:space="preserve"> Менської міської ради в частині управління у відповідній сфері</w:t>
      </w:r>
      <w:r>
        <w:rPr>
          <w:szCs w:val="28"/>
        </w:rPr>
        <w:t xml:space="preserve">:</w:t>
      </w:r>
      <w:r>
        <w:rPr>
          <w:szCs w:val="28"/>
        </w:rPr>
        <w:t xml:space="preserve"> зменшити кошторисні призначення для придбання предметів, матеріалів, обладнання та інвентарю на суму 70</w:t>
      </w:r>
      <w:r>
        <w:rPr>
          <w:szCs w:val="28"/>
        </w:rPr>
        <w:t xml:space="preserve"> </w:t>
      </w:r>
      <w:r>
        <w:rPr>
          <w:szCs w:val="28"/>
        </w:rPr>
        <w:t xml:space="preserve">000,00 грн., </w:t>
      </w:r>
      <w:r>
        <w:rPr>
          <w:szCs w:val="28"/>
        </w:rPr>
        <w:t xml:space="preserve">відповідно збільшити кошторисні призначення для оплати послуг (крім комунальних) на таку ж суму (поточний ремонт по заміні вікон)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0810160 КЕКВ 2210 -70</w:t>
      </w:r>
      <w:r>
        <w:rPr>
          <w:szCs w:val="28"/>
        </w:rPr>
        <w:t xml:space="preserve"> </w:t>
      </w:r>
      <w:r>
        <w:rPr>
          <w:szCs w:val="28"/>
        </w:rPr>
        <w:t xml:space="preserve">000,00 грн., КЕКВ 2240 +70</w:t>
      </w:r>
      <w:r>
        <w:rPr>
          <w:szCs w:val="28"/>
        </w:rPr>
        <w:t xml:space="preserve"> </w:t>
      </w:r>
      <w:r>
        <w:rPr>
          <w:szCs w:val="28"/>
        </w:rPr>
        <w:t xml:space="preserve">000,00 грн.).</w:t>
      </w:r>
      <w:bookmarkEnd w:id="1"/>
      <w:r>
        <w:rPr>
          <w:szCs w:val="28"/>
        </w:rPr>
      </w:r>
      <w:r>
        <w:rPr>
          <w:szCs w:val="28"/>
        </w:rPr>
      </w:r>
    </w:p>
    <w:p>
      <w:pPr>
        <w:pStyle w:val="972"/>
        <w:numPr>
          <w:ilvl w:val="0"/>
          <w:numId w:val="30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669" w:right="567" w:bottom="709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8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7728207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"/>
  </w:num>
  <w:num w:numId="6">
    <w:abstractNumId w:val="27"/>
  </w:num>
  <w:num w:numId="7">
    <w:abstractNumId w:val="30"/>
  </w:num>
  <w:num w:numId="8">
    <w:abstractNumId w:val="9"/>
  </w:num>
  <w:num w:numId="9">
    <w:abstractNumId w:val="23"/>
  </w:num>
  <w:num w:numId="10">
    <w:abstractNumId w:val="16"/>
  </w:num>
  <w:num w:numId="11">
    <w:abstractNumId w:val="24"/>
  </w:num>
  <w:num w:numId="12">
    <w:abstractNumId w:val="14"/>
  </w:num>
  <w:num w:numId="13">
    <w:abstractNumId w:val="26"/>
  </w:num>
  <w:num w:numId="14">
    <w:abstractNumId w:val="3"/>
  </w:num>
  <w:num w:numId="15">
    <w:abstractNumId w:val="29"/>
  </w:num>
  <w:num w:numId="16">
    <w:abstractNumId w:val="15"/>
  </w:num>
  <w:num w:numId="17">
    <w:abstractNumId w:val="18"/>
  </w:num>
  <w:num w:numId="18">
    <w:abstractNumId w:val="7"/>
  </w:num>
  <w:num w:numId="19">
    <w:abstractNumId w:val="28"/>
  </w:num>
  <w:num w:numId="20">
    <w:abstractNumId w:val="6"/>
  </w:num>
  <w:num w:numId="21">
    <w:abstractNumId w:val="25"/>
  </w:num>
  <w:num w:numId="22">
    <w:abstractNumId w:val="12"/>
  </w:num>
  <w:num w:numId="23">
    <w:abstractNumId w:val="13"/>
  </w:num>
  <w:num w:numId="24">
    <w:abstractNumId w:val="22"/>
  </w:num>
  <w:num w:numId="25">
    <w:abstractNumId w:val="4"/>
  </w:num>
  <w:num w:numId="26">
    <w:abstractNumId w:val="10"/>
  </w:num>
  <w:num w:numId="27">
    <w:abstractNumId w:val="19"/>
  </w:num>
  <w:num w:numId="28">
    <w:abstractNumId w:val="0"/>
  </w:num>
  <w:num w:numId="29">
    <w:abstractNumId w:val="8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5">
    <w:name w:val="Plain Table 1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94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5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6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7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798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799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0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01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803">
    <w:name w:val="Heading 1"/>
    <w:basedOn w:val="802"/>
    <w:next w:val="802"/>
    <w:link w:val="9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4">
    <w:name w:val="Heading 2"/>
    <w:basedOn w:val="802"/>
    <w:next w:val="802"/>
    <w:link w:val="96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5">
    <w:name w:val="Heading 3"/>
    <w:basedOn w:val="802"/>
    <w:next w:val="802"/>
    <w:link w:val="96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6">
    <w:name w:val="Heading 4"/>
    <w:basedOn w:val="802"/>
    <w:next w:val="802"/>
    <w:link w:val="9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7">
    <w:name w:val="Heading 5"/>
    <w:basedOn w:val="802"/>
    <w:next w:val="802"/>
    <w:link w:val="9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8">
    <w:name w:val="Heading 6"/>
    <w:basedOn w:val="802"/>
    <w:next w:val="802"/>
    <w:link w:val="96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09">
    <w:name w:val="Heading 7"/>
    <w:basedOn w:val="802"/>
    <w:next w:val="802"/>
    <w:link w:val="9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0">
    <w:name w:val="Heading 8"/>
    <w:basedOn w:val="802"/>
    <w:next w:val="802"/>
    <w:link w:val="9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11">
    <w:name w:val="Heading 9"/>
    <w:basedOn w:val="802"/>
    <w:next w:val="802"/>
    <w:link w:val="9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table" w:styleId="8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4" w:default="1">
    <w:name w:val="No List"/>
    <w:uiPriority w:val="99"/>
    <w:semiHidden/>
    <w:unhideWhenUsed/>
    <w:pPr>
      <w:pBdr/>
      <w:spacing/>
      <w:ind/>
    </w:pPr>
  </w:style>
  <w:style w:type="character" w:styleId="815" w:customStyle="1">
    <w:name w:val="Heading 1 Char"/>
    <w:basedOn w:val="81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6" w:customStyle="1">
    <w:name w:val="Heading 2 Char"/>
    <w:basedOn w:val="8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7" w:customStyle="1">
    <w:name w:val="Heading 3 Char"/>
    <w:basedOn w:val="8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8" w:customStyle="1">
    <w:name w:val="Heading 4 Char"/>
    <w:basedOn w:val="81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Heading 5 Char"/>
    <w:basedOn w:val="81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Heading 6 Char"/>
    <w:basedOn w:val="81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Heading 7 Char"/>
    <w:basedOn w:val="8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Heading 8 Char"/>
    <w:basedOn w:val="8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Heading 9 Char"/>
    <w:basedOn w:val="8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Title Char"/>
    <w:basedOn w:val="812"/>
    <w:uiPriority w:val="10"/>
    <w:pPr>
      <w:pBdr/>
      <w:spacing/>
      <w:ind/>
    </w:pPr>
    <w:rPr>
      <w:sz w:val="48"/>
      <w:szCs w:val="48"/>
    </w:rPr>
  </w:style>
  <w:style w:type="character" w:styleId="825" w:customStyle="1">
    <w:name w:val="Subtitle Char"/>
    <w:basedOn w:val="812"/>
    <w:uiPriority w:val="11"/>
    <w:pPr>
      <w:pBdr/>
      <w:spacing/>
      <w:ind/>
    </w:pPr>
    <w:rPr>
      <w:sz w:val="24"/>
      <w:szCs w:val="24"/>
    </w:rPr>
  </w:style>
  <w:style w:type="character" w:styleId="826" w:customStyle="1">
    <w:name w:val="Quote Char"/>
    <w:uiPriority w:val="29"/>
    <w:pPr>
      <w:pBdr/>
      <w:spacing/>
      <w:ind/>
    </w:pPr>
    <w:rPr>
      <w:i/>
    </w:rPr>
  </w:style>
  <w:style w:type="character" w:styleId="827" w:customStyle="1">
    <w:name w:val="Intense Quote Char"/>
    <w:uiPriority w:val="30"/>
    <w:pPr>
      <w:pBdr/>
      <w:spacing/>
      <w:ind/>
    </w:pPr>
    <w:rPr>
      <w:i/>
    </w:rPr>
  </w:style>
  <w:style w:type="character" w:styleId="828" w:customStyle="1">
    <w:name w:val="Header Char"/>
    <w:basedOn w:val="812"/>
    <w:uiPriority w:val="99"/>
    <w:pPr>
      <w:pBdr/>
      <w:spacing/>
      <w:ind/>
    </w:pPr>
  </w:style>
  <w:style w:type="character" w:styleId="829" w:customStyle="1">
    <w:name w:val="Footer Char"/>
    <w:basedOn w:val="812"/>
    <w:uiPriority w:val="99"/>
    <w:pPr>
      <w:pBdr/>
      <w:spacing/>
      <w:ind/>
    </w:pPr>
  </w:style>
  <w:style w:type="table" w:styleId="830" w:customStyle="1">
    <w:name w:val="Звичайна таблиця 11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21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3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4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5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1 (світла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2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3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41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5 (темна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6 (кольорова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7 (кольорова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писок 1 (світлий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2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писок 3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4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5 (темний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6 (кольоровий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7 (кольоровий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9" w:customStyle="1">
    <w:name w:val="Footnote Text Char"/>
    <w:uiPriority w:val="99"/>
    <w:pPr>
      <w:pBdr/>
      <w:spacing/>
      <w:ind/>
    </w:pPr>
    <w:rPr>
      <w:sz w:val="18"/>
    </w:rPr>
  </w:style>
  <w:style w:type="character" w:styleId="850" w:customStyle="1">
    <w:name w:val="Endnote Text Char"/>
    <w:uiPriority w:val="99"/>
    <w:pPr>
      <w:pBdr/>
      <w:spacing/>
      <w:ind/>
    </w:pPr>
    <w:rPr>
      <w:sz w:val="20"/>
    </w:rPr>
  </w:style>
  <w:style w:type="paragraph" w:styleId="851">
    <w:name w:val="Caption"/>
    <w:basedOn w:val="802"/>
    <w:next w:val="80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52" w:customStyle="1">
    <w:name w:val="Caption Char"/>
    <w:uiPriority w:val="99"/>
    <w:pPr>
      <w:pBdr/>
      <w:spacing/>
      <w:ind/>
    </w:pPr>
  </w:style>
  <w:style w:type="paragraph" w:styleId="853">
    <w:name w:val="endnote text"/>
    <w:basedOn w:val="802"/>
    <w:link w:val="854"/>
    <w:uiPriority w:val="99"/>
    <w:semiHidden/>
    <w:unhideWhenUsed/>
    <w:pPr>
      <w:pBdr/>
      <w:spacing/>
      <w:ind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pPr>
      <w:pBdr/>
      <w:spacing/>
      <w:ind/>
    </w:pPr>
    <w:rPr>
      <w:sz w:val="20"/>
    </w:rPr>
  </w:style>
  <w:style w:type="character" w:styleId="855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856">
    <w:name w:val="table of figures"/>
    <w:basedOn w:val="802"/>
    <w:next w:val="802"/>
    <w:uiPriority w:val="99"/>
    <w:unhideWhenUsed/>
    <w:pPr>
      <w:pBdr/>
      <w:spacing/>
      <w:ind/>
    </w:pPr>
  </w:style>
  <w:style w:type="table" w:styleId="857" w:customStyle="1">
    <w:name w:val="Table Grid Light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Звичайна таблиця 11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Звичайна таблиця 21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Звичайна таблиця 3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Звичайна таблиця 4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Звичайна таблиця 5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1 (світла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2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ітка 3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ітка 41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1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2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3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4 - Accent 4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4 - Accent 5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6"/>
    <w:basedOn w:val="8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ітка 5 (темна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5 Dark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ітка 6 (кольорова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ітка 7 (кольорова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1 (світлий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писок 2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я-список 3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Таблиця-список 4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4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Таблиця-список 5 (темний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5 Dark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Таблиця-список 6 (кольоровий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6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6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Таблиця-список 7 (кольоровий)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7 Colorful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7 Colorful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 w:customStyle="1">
    <w:name w:val="Заголовок 1 Знак"/>
    <w:basedOn w:val="812"/>
    <w:link w:val="8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64" w:customStyle="1">
    <w:name w:val="Заголовок 2 Знак"/>
    <w:basedOn w:val="812"/>
    <w:link w:val="80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65" w:customStyle="1">
    <w:name w:val="Заголовок 3 Знак"/>
    <w:basedOn w:val="812"/>
    <w:link w:val="8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66" w:customStyle="1">
    <w:name w:val="Заголовок 4 Знак"/>
    <w:basedOn w:val="812"/>
    <w:link w:val="8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67" w:customStyle="1">
    <w:name w:val="Заголовок 5 Знак"/>
    <w:basedOn w:val="812"/>
    <w:link w:val="8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68" w:customStyle="1">
    <w:name w:val="Заголовок 6 Знак"/>
    <w:basedOn w:val="812"/>
    <w:link w:val="8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69" w:customStyle="1">
    <w:name w:val="Заголовок 7 Знак"/>
    <w:basedOn w:val="812"/>
    <w:link w:val="8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0" w:customStyle="1">
    <w:name w:val="Заголовок 8 Знак"/>
    <w:basedOn w:val="812"/>
    <w:link w:val="8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71" w:customStyle="1">
    <w:name w:val="Заголовок 9 Знак"/>
    <w:basedOn w:val="812"/>
    <w:link w:val="8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72">
    <w:name w:val="List Paragraph"/>
    <w:basedOn w:val="802"/>
    <w:uiPriority w:val="34"/>
    <w:qFormat/>
    <w:pPr>
      <w:pBdr/>
      <w:spacing/>
      <w:ind w:left="720"/>
      <w:contextualSpacing w:val="true"/>
    </w:pPr>
  </w:style>
  <w:style w:type="paragraph" w:styleId="973">
    <w:name w:val="No Spacing"/>
    <w:uiPriority w:val="1"/>
    <w:qFormat/>
    <w:pPr>
      <w:pBdr/>
      <w:spacing w:after="0" w:line="240" w:lineRule="auto"/>
      <w:ind/>
    </w:pPr>
  </w:style>
  <w:style w:type="paragraph" w:styleId="974">
    <w:name w:val="Title"/>
    <w:basedOn w:val="802"/>
    <w:next w:val="802"/>
    <w:link w:val="9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75" w:customStyle="1">
    <w:name w:val="Название Знак"/>
    <w:basedOn w:val="812"/>
    <w:link w:val="974"/>
    <w:uiPriority w:val="10"/>
    <w:pPr>
      <w:pBdr/>
      <w:spacing/>
      <w:ind/>
    </w:pPr>
    <w:rPr>
      <w:sz w:val="48"/>
      <w:szCs w:val="48"/>
    </w:rPr>
  </w:style>
  <w:style w:type="paragraph" w:styleId="976">
    <w:name w:val="Subtitle"/>
    <w:basedOn w:val="802"/>
    <w:next w:val="802"/>
    <w:link w:val="9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77" w:customStyle="1">
    <w:name w:val="Подзаголовок Знак"/>
    <w:basedOn w:val="812"/>
    <w:link w:val="976"/>
    <w:uiPriority w:val="11"/>
    <w:pPr>
      <w:pBdr/>
      <w:spacing/>
      <w:ind/>
    </w:pPr>
    <w:rPr>
      <w:sz w:val="24"/>
      <w:szCs w:val="24"/>
    </w:rPr>
  </w:style>
  <w:style w:type="paragraph" w:styleId="978">
    <w:name w:val="Quote"/>
    <w:basedOn w:val="802"/>
    <w:next w:val="802"/>
    <w:link w:val="979"/>
    <w:uiPriority w:val="29"/>
    <w:qFormat/>
    <w:pPr>
      <w:pBdr/>
      <w:spacing/>
      <w:ind w:right="720" w:left="720"/>
    </w:pPr>
    <w:rPr>
      <w:i/>
    </w:rPr>
  </w:style>
  <w:style w:type="character" w:styleId="979" w:customStyle="1">
    <w:name w:val="Цитата 2 Знак"/>
    <w:link w:val="978"/>
    <w:uiPriority w:val="29"/>
    <w:pPr>
      <w:pBdr/>
      <w:spacing/>
      <w:ind/>
    </w:pPr>
    <w:rPr>
      <w:i/>
    </w:rPr>
  </w:style>
  <w:style w:type="paragraph" w:styleId="980">
    <w:name w:val="Intense Quote"/>
    <w:basedOn w:val="802"/>
    <w:next w:val="802"/>
    <w:link w:val="9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81" w:customStyle="1">
    <w:name w:val="Выделенная цитата Знак"/>
    <w:link w:val="980"/>
    <w:uiPriority w:val="30"/>
    <w:pPr>
      <w:pBdr/>
      <w:spacing/>
      <w:ind/>
    </w:pPr>
    <w:rPr>
      <w:i/>
    </w:rPr>
  </w:style>
  <w:style w:type="paragraph" w:styleId="982">
    <w:name w:val="Header"/>
    <w:basedOn w:val="802"/>
    <w:link w:val="98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83" w:customStyle="1">
    <w:name w:val="Верхний колонтитул Знак"/>
    <w:basedOn w:val="812"/>
    <w:link w:val="982"/>
    <w:uiPriority w:val="99"/>
    <w:pPr>
      <w:pBdr/>
      <w:spacing/>
      <w:ind/>
    </w:pPr>
  </w:style>
  <w:style w:type="paragraph" w:styleId="984">
    <w:name w:val="Footer"/>
    <w:basedOn w:val="802"/>
    <w:link w:val="98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85" w:customStyle="1">
    <w:name w:val="Нижний колонтитул Знак"/>
    <w:basedOn w:val="812"/>
    <w:link w:val="984"/>
    <w:uiPriority w:val="99"/>
    <w:pPr>
      <w:pBdr/>
      <w:spacing/>
      <w:ind/>
    </w:pPr>
  </w:style>
  <w:style w:type="table" w:styleId="986">
    <w:name w:val="Table Grid"/>
    <w:basedOn w:val="8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1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2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3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4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5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6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1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2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3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4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5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6"/>
    <w:basedOn w:val="8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1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2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3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4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5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6"/>
    <w:basedOn w:val="81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09">
    <w:name w:val="footnote text"/>
    <w:basedOn w:val="802"/>
    <w:link w:val="1010"/>
    <w:uiPriority w:val="99"/>
    <w:semiHidden/>
    <w:unhideWhenUsed/>
    <w:pPr>
      <w:pBdr/>
      <w:spacing w:after="40"/>
      <w:ind/>
    </w:pPr>
    <w:rPr>
      <w:sz w:val="18"/>
    </w:rPr>
  </w:style>
  <w:style w:type="character" w:styleId="1010" w:customStyle="1">
    <w:name w:val="Текст сноски Знак"/>
    <w:link w:val="1009"/>
    <w:uiPriority w:val="99"/>
    <w:pPr>
      <w:pBdr/>
      <w:spacing/>
      <w:ind/>
    </w:pPr>
    <w:rPr>
      <w:sz w:val="18"/>
    </w:rPr>
  </w:style>
  <w:style w:type="character" w:styleId="1011">
    <w:name w:val="footnote reference"/>
    <w:basedOn w:val="812"/>
    <w:uiPriority w:val="99"/>
    <w:unhideWhenUsed/>
    <w:pPr>
      <w:pBdr/>
      <w:spacing/>
      <w:ind/>
    </w:pPr>
    <w:rPr>
      <w:vertAlign w:val="superscript"/>
    </w:rPr>
  </w:style>
  <w:style w:type="paragraph" w:styleId="1012">
    <w:name w:val="toc 1"/>
    <w:basedOn w:val="802"/>
    <w:next w:val="802"/>
    <w:uiPriority w:val="39"/>
    <w:unhideWhenUsed/>
    <w:pPr>
      <w:pBdr/>
      <w:spacing w:after="57"/>
      <w:ind w:firstLine="0"/>
    </w:pPr>
  </w:style>
  <w:style w:type="paragraph" w:styleId="1013">
    <w:name w:val="toc 2"/>
    <w:basedOn w:val="802"/>
    <w:next w:val="802"/>
    <w:uiPriority w:val="39"/>
    <w:unhideWhenUsed/>
    <w:pPr>
      <w:pBdr/>
      <w:spacing w:after="57"/>
      <w:ind w:firstLine="0" w:left="283"/>
    </w:pPr>
  </w:style>
  <w:style w:type="paragraph" w:styleId="1014">
    <w:name w:val="toc 3"/>
    <w:basedOn w:val="802"/>
    <w:next w:val="802"/>
    <w:uiPriority w:val="39"/>
    <w:unhideWhenUsed/>
    <w:pPr>
      <w:pBdr/>
      <w:spacing w:after="57"/>
      <w:ind w:firstLine="0" w:left="567"/>
    </w:pPr>
  </w:style>
  <w:style w:type="paragraph" w:styleId="1015">
    <w:name w:val="toc 4"/>
    <w:basedOn w:val="802"/>
    <w:next w:val="802"/>
    <w:uiPriority w:val="39"/>
    <w:unhideWhenUsed/>
    <w:pPr>
      <w:pBdr/>
      <w:spacing w:after="57"/>
      <w:ind w:firstLine="0" w:left="850"/>
    </w:pPr>
  </w:style>
  <w:style w:type="paragraph" w:styleId="1016">
    <w:name w:val="toc 5"/>
    <w:basedOn w:val="802"/>
    <w:next w:val="802"/>
    <w:uiPriority w:val="39"/>
    <w:unhideWhenUsed/>
    <w:pPr>
      <w:pBdr/>
      <w:spacing w:after="57"/>
      <w:ind w:firstLine="0" w:left="1134"/>
    </w:pPr>
  </w:style>
  <w:style w:type="paragraph" w:styleId="1017">
    <w:name w:val="toc 6"/>
    <w:basedOn w:val="802"/>
    <w:next w:val="802"/>
    <w:uiPriority w:val="39"/>
    <w:unhideWhenUsed/>
    <w:pPr>
      <w:pBdr/>
      <w:spacing w:after="57"/>
      <w:ind w:firstLine="0" w:left="1417"/>
    </w:pPr>
  </w:style>
  <w:style w:type="paragraph" w:styleId="1018">
    <w:name w:val="toc 7"/>
    <w:basedOn w:val="802"/>
    <w:next w:val="802"/>
    <w:uiPriority w:val="39"/>
    <w:unhideWhenUsed/>
    <w:pPr>
      <w:pBdr/>
      <w:spacing w:after="57"/>
      <w:ind w:firstLine="0" w:left="1701"/>
    </w:pPr>
  </w:style>
  <w:style w:type="paragraph" w:styleId="1019">
    <w:name w:val="toc 8"/>
    <w:basedOn w:val="802"/>
    <w:next w:val="802"/>
    <w:uiPriority w:val="39"/>
    <w:unhideWhenUsed/>
    <w:pPr>
      <w:pBdr/>
      <w:spacing w:after="57"/>
      <w:ind w:firstLine="0" w:left="1984"/>
    </w:pPr>
  </w:style>
  <w:style w:type="paragraph" w:styleId="1020">
    <w:name w:val="toc 9"/>
    <w:basedOn w:val="802"/>
    <w:next w:val="802"/>
    <w:uiPriority w:val="39"/>
    <w:unhideWhenUsed/>
    <w:pPr>
      <w:pBdr/>
      <w:spacing w:after="57"/>
      <w:ind w:firstLine="0" w:left="2268"/>
    </w:pPr>
  </w:style>
  <w:style w:type="paragraph" w:styleId="1021">
    <w:name w:val="TOC Heading"/>
    <w:uiPriority w:val="39"/>
    <w:unhideWhenUsed/>
    <w:pPr>
      <w:pBdr/>
      <w:spacing/>
      <w:ind/>
    </w:pPr>
  </w:style>
  <w:style w:type="paragraph" w:styleId="1022">
    <w:name w:val="Balloon Text"/>
    <w:basedOn w:val="802"/>
    <w:link w:val="102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23" w:customStyle="1">
    <w:name w:val="Текст выноски Знак"/>
    <w:basedOn w:val="812"/>
    <w:link w:val="1022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24" w:customStyle="1">
    <w:name w:val="docdata"/>
    <w:basedOn w:val="80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B06A331-EC33-4476-A018-7AD5CCB69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482</cp:revision>
  <dcterms:created xsi:type="dcterms:W3CDTF">2023-11-21T13:30:00Z</dcterms:created>
  <dcterms:modified xsi:type="dcterms:W3CDTF">2025-09-29T09:17:37Z</dcterms:modified>
</cp:coreProperties>
</file>