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(шістдесят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четвер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пленарного засідання Менської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 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____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10-00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Героїв АТО, буд.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Мена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міській раді встановлено 26 депутатських мандатів, обрано 26 депутатів, 1 депутат склав повноваження. На сесії зареєстровано 15 депутатів, присутні 15 депутатів, відсутні 10 депутатів.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ст. 42, 50 Закону України «Про місцеве самоврядування в Україні» пленарне засідання 63 сесії відбувається під головуванням секретаря ради Юрія СТАЛЬНИЧЕНКА, оскільки міський голова Геннадій ПРИМАКОВ увільнений у зв’язку з мобілізацією.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ст. 5, 6 Регламенту Менської міської ради 8 скликання Сесії ради проводяться гласно із забезпеченням права кожного бути присутнім на них, крім випадків передбачених законодавством. Порядок доступу до засі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дань визначається радою відповідно до закону та цього Регламенту. Представники засобів масової інформації та журналісти, які бажають бути присутніми на пленарному засіданні сесії, допускаються за умови пред’явлення службового (журналістського) посвідчення.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запропонував зайняти визначені місця і відкрив 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 депутатів згідно ст. 46 п.4 Закону України «Про місцеве самоврядування в Україні» та ст.19, 20 Регламенту Менської міської ради, сьогодні проводиться 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ознайомив депутатів з запропонованим порядком денним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поставив на голосування проєкт порядку денного за основу та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цілому, а саме: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бюджету Менської міської територіальної громади за 1 півріччя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підтримки та розвитку місцевого самоврядування на території Менської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матеріально-технічної та фінансової підтримки базової підготовки мешканців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національного спротиву на 2025-2026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Меморандуму про співробітництво територіальних громад у формі партнерства між Здолбунівською міською територіальною громадою Рівненської області з Менською міською територіальною громадою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458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підписання Меморандуму про співробітництво територіальних громад у формі партнерства між Житомирською міською територіальною громадою з Менською міською територіальною громадою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Меморандуму про взаєморозуміння між Менською міською радою та Експертиз Франс, акціонерним товариством спрощеного типу за французьким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Переліку медичних пунктів тимчасового базування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56 сесії Менської міської ради 8 скликання від 19 грудня 2024 року №729 «Про затвердження Програми «Розвитку комунального підприємства «Менакомунпослуга» Менської міської ради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462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прийняття транспортного засобу в комунальну власність Менської міської територіальної громади та передачу його в оперативне управління Комунальному закладу «Менський будинок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культури» Менської міської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463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структури та загальної чисельності працівників Комунального закладу «Менська школа мистецтв»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464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встановлення розміру плати за навчання на 2025-2026 навчальний рік по Комунальному закладу «Менська школа мистецтв»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465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створення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внутрішньо переміщених осіб при Менській міській раді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прийняття в комунальну власність Менської міської територіальної громади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Статуту Комунального закладу позашкільної освіти Менського центру дитячої та юнацької творчості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структури та загальної чисельності Комунального закладу позашкільної освіти Менського центру дитячої та юнацької творчості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порядок організації харчування учнів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закладах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 Менської міської ради з 01 вересня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передавального акту Осьмаківського закладу дошкільної освіти (дитячий садок) «Капітошка» загального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передавального акту Менського закладу дошкільної освіти (ясел-садка) «Калинонька» загального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передавального акту Покровського закладу дошкільної освіти (дитячого садка) «Капітошка» загального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передавального акту Киселівського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передавального акту Комунального закладу позашкільної освіти Менської станції юних техніків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передавального акту Покровського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штатної чисельності Степанівського міжшкільного навчально-виробничого комбінату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Положення про Киселівську філію Менського опорного закладу загальної середньої освіти І-ІІІ ступенів ім.Т.Г.Шевченка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Статуту Менського опорного закладу загальної середньої освіти І-ІІІ ступенів ім.Т.Г.Шевченка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Програми «Шкільний автобус» на 2021 – 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Положення про Покровську філію Менського опорного закладу загальної середньої освіти І-ІІІ ступенів ім.Т.Г.Шевченка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Положення про Осьмаківську філію 'Капітошка' Менського закладу дошкільної освіти (ясла-садка) «Дитяча академія»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загальної чисельності Менського опорного ЗЗСО І-ІІІ ступенів ім. Т.Г. 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загальної чисельності працівників Волосківської гімназії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структури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загальної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штатної чисельності працівників закладів дошкільної освіти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Положення про Покровську філію «Капітошка» Менського закладу дошкільної освіти (ясла-садка) «Сонечко»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Статуту Менського закладу дошкільної освіти (ясла-садок) «Сонечко» комбінованого типу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Статуту Менського закладу дошкільної освіти (ясла-садка) «Дитяча академія» комбінованого типу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Положення про Філію «Калинонька» Менського закладу дошкільної освіти (ясла-садка) «Дитяча академія»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питань найменування, перейменування, унормування назв географічних об’єктів та об’єктів топоніміки на території населених пунктів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перейменування вулиці Григорія Кочура в місті Мена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виключення майна з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структури Комунальної установи «Менськийміський центр соціальних служб»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нової редакції Положення про Комунальну установу «Менський міський центр соціальних служб»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типової угоди про соціальне партнерство для комунальних підприємств, установ,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Програми організації харчування дітей в закладах загальної середньої освіти Менської міської ради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типової форми контракту з директором Комунального підприємства «Менакомунпослуга»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присвоєння чергового рангу посадової особи місцевого самоврядування старостам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взяття до відома Середньострокового плану пріоритетних публічних інвестицій Менської міської територіальної громади на 2026–2028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Прогноз бюджету Менської міської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розгляд звернення ПП «МІЖРАЙПАЛИВО» щодо розстрочення платежу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63 сесії Менської міської ради 8 скликання від 23.07.2025 року № 441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право оренди якої буде продано на земельних торгах (аукціоні)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технічної документації із землеустрою щодо встановлення меж частини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яку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поширюється право земельного сервітуту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інвентаризації земель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права користування земельними ділянками наданими для городництва 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виготовлення технічної документацій щодо поділу земельної ділянки ФГ «Бутенко»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рішень 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щодо поділу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виготовлення проєкту землеустрою щодо відведення земельної ділянки на умовах оренди ТОВ «ЮТК» за межами с. Городище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проведення земельних торгів (аукціону)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дозволів на виготовлення проєктів із землеустрою щодо відведення земельних ділянок на умовах оренди для городництва за межами с. Ушня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дозволів на виготовлення проєктів із землеустрою щодо відведення земельних ділянок на умовах оренди для городництва за межами м. 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відмову в наданні дозволів на виготовлення проєктів із землеустрою щодо відведення земельних ділянок на умовах оренди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виготовлення документації із землеустрою щодо поділу земельної ділянки, що перебуває в орендному користуванні Ющенко О.В.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поділу земельної ділянки, яка перебуває в оренді Вялько Л.С.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укладання договорів оренди землі з Коваленком А.В. на новий строк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в оренду Зінченку О.А.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в оренду ТОВ «СООР МЕНА»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 порядок денний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основу та в цілому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звернувся до депутатів, затвердити такий порядок роботи сесії: для доповіді – до 20 хвилин, співдоповіді і заключного слова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10 хвилин. Виступаючим в обговоренні, для повторних виступів при обговоренні, для виступів за процедурою скороченого обговорення, для виступів з інформацією з питань порядку денного, для заяв, внесення запитів, резолюцій, надається час тривалістю до 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хвилин, для виступів щодо кандидатур, процедури та з мотивів голосування, пояснень, зауважень, запитань, пропозицій, повідомлень і довідок, внесення поправок, а також виступів в «Різному» - до 2 хвилин. Кожні 2 години роботи сесії робити перерву 15 хвилин.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 проводити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електронної системи голосування.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затвердження вищеназваного порядку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пленарного засідання.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порядок роботи сесії.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про перехід до розгляду питань порядку денного.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бюджету Менської міської територіальної громади за 1 півріччя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зазначив, що даний проєкт рішення був розглянутий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спільному засіданні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Зважаючи, що зауважень, доповнень не надходило,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бюджету Менської міської територіальної громади за 1 півріччя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підтримки та розвитку місцевого самоврядування на території Менської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значив, що проєкт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розглядався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спільному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остійних комісій та був підтриманий депутатами.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Нерослик А.П., яка повідомила, що на засіданні постійної комісії з питань планування, фінансів, бюджету, соціально-економічного розвитку, житлово-комунального господарства та комунального майна депутатами було запропоновано змінити назву рішення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організаційних заходів щодо реалізації реформи публічних інвестицій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даний проєкт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зміною назви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підтримки та розвитку місцевого самоврядування на території Менської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матеріально-технічної та фінансової підтримки базової підготовки мешканців Менської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національного спротиву на 2025-2026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733"/>
        <w:pBdr/>
        <w:spacing w:after="0" w:before="0" w:line="240" w:lineRule="auto"/>
        <w:ind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Головуючий повідомив, що даний проєкт рішення був розглянутий на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спільному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засіданні постійн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их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депутатськ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их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й.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матеріально-технічної та фінансової підтримки базової підготовки мешканців Менської міської територіальної громади до національного спротиву на 2025-2026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Меморандуму про співробітництво територіальних громад у формі партнерства між Здолбунівською міською територіальною громадою Рівненської області з Менською міською територіальною громадою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 </w:t>
      </w:r>
      <w:r>
        <w:rPr>
          <w:sz w:val="28"/>
          <w:szCs w:val="28"/>
          <w:lang w:val="uk-UA"/>
        </w:rPr>
        <w:t xml:space="preserve">спільному </w:t>
      </w:r>
      <w:r>
        <w:rPr>
          <w:sz w:val="28"/>
          <w:szCs w:val="28"/>
          <w:lang w:val="uk-UA"/>
        </w:rPr>
        <w:t xml:space="preserve">засіданні постійн</w:t>
      </w:r>
      <w:r>
        <w:rPr>
          <w:sz w:val="28"/>
          <w:szCs w:val="28"/>
          <w:lang w:val="uk-UA"/>
        </w:rPr>
        <w:t xml:space="preserve">их</w:t>
      </w:r>
      <w:r>
        <w:rPr>
          <w:sz w:val="28"/>
          <w:szCs w:val="28"/>
          <w:lang w:val="uk-UA"/>
        </w:rPr>
        <w:t xml:space="preserve"> депутатськ</w:t>
      </w:r>
      <w:r>
        <w:rPr>
          <w:sz w:val="28"/>
          <w:szCs w:val="28"/>
          <w:lang w:val="uk-UA"/>
        </w:rPr>
        <w:t xml:space="preserve">их</w:t>
      </w:r>
      <w:r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й</w:t>
      </w:r>
      <w:r>
        <w:rPr>
          <w:sz w:val="28"/>
          <w:szCs w:val="28"/>
          <w:lang w:val="uk-UA"/>
        </w:rPr>
        <w:t xml:space="preserve">. Враховуючи, що запитань, зауважень і пропозицій не надходило, запро</w:t>
      </w:r>
      <w:r>
        <w:rPr>
          <w:sz w:val="28"/>
          <w:szCs w:val="28"/>
          <w:lang w:val="uk-UA"/>
        </w:rPr>
        <w:t xml:space="preserve">понував</w:t>
      </w:r>
      <w:r>
        <w:rPr>
          <w:sz w:val="28"/>
          <w:szCs w:val="28"/>
          <w:lang w:val="uk-UA"/>
        </w:rPr>
        <w:t xml:space="preserve">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Меморандуму про співробітництво територіальних громад у формі партнерства між Здолбунівською міською територіальною громадою Рівненської області з Менською міською територіальною громадою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підписання Меморандуму про співробітництво територіальних громад у формі партнерства між Житомирською міською територіальною громадою з Менською міською територіальною громадою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</w:t>
      </w:r>
      <w:r>
        <w:rPr>
          <w:sz w:val="28"/>
          <w:szCs w:val="28"/>
          <w:lang w:val="uk-UA"/>
        </w:rPr>
        <w:t xml:space="preserve">понував</w:t>
      </w:r>
      <w:r>
        <w:rPr>
          <w:sz w:val="28"/>
          <w:szCs w:val="28"/>
          <w:lang w:val="uk-UA"/>
        </w:rPr>
        <w:t xml:space="preserve">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підписання Меморандуму про співробітництво територіальних громад у формі партнерства між Житомирською міською територіальною громадою з Менською міською територіальною громадою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Меморандуму про взаєморозуміння між Менською міською радою та Експертиз Франс, акціонерним товариством спрощеного типу за французьким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Меморандуму про взаєморозуміння між Менською міською радою та Експертиз Франс, акціонерним товариством спрощеного типу за французьким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460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Переліку медичних пунктів тимчасового базування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Переліку медичних пунктів тимчасового базування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№729 «Про затвердження Програми «Розвитку комунального підприємства «Менакомунпослуга» Менської міської ради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</w:t>
      </w:r>
      <w:r>
        <w:rPr>
          <w:sz w:val="28"/>
          <w:szCs w:val="28"/>
          <w:lang w:val="uk-UA"/>
        </w:rPr>
        <w:t xml:space="preserve">понував</w:t>
      </w:r>
      <w:r>
        <w:rPr>
          <w:sz w:val="28"/>
          <w:szCs w:val="28"/>
          <w:lang w:val="uk-UA"/>
        </w:rPr>
        <w:t xml:space="preserve">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№729 «Про затвердження Програми «Розвитку комунального підприємства «Менакомунпослуга» Менської міської ради на 2025-2027 роки»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8925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транспортного засобу в комунальну власність Менської міської територіальної громади та передачу його в оперативне управління Комунальному закладу «Менський будинок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культури»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транспортного засобу в комунальну власність Менської міської територіальної громади та передачу його в оперативне управління Комунальному закладу «Менський будинок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культури»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структури та загальної чисельності працівників Комунального закладу «Менська школа мистецтв»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</w:t>
      </w:r>
      <w:r>
        <w:rPr>
          <w:sz w:val="28"/>
          <w:szCs w:val="28"/>
          <w:lang w:val="uk-UA"/>
        </w:rPr>
        <w:t xml:space="preserve">понува</w:t>
      </w:r>
      <w:r>
        <w:rPr>
          <w:sz w:val="28"/>
          <w:szCs w:val="28"/>
          <w:lang w:val="uk-UA"/>
        </w:rPr>
        <w:t xml:space="preserve">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структури та загальної чисельності працівників Комунального закладу «Менська школа мистецтв»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розміру плати за навчання на 2025-2026 навчальний рік по Комунальному закладу «Менська школа мистецтв»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</w:t>
      </w:r>
      <w:r>
        <w:rPr>
          <w:sz w:val="28"/>
          <w:szCs w:val="28"/>
          <w:lang w:val="uk-UA"/>
        </w:rPr>
        <w:t xml:space="preserve">понува</w:t>
      </w:r>
      <w:r>
        <w:rPr>
          <w:sz w:val="28"/>
          <w:szCs w:val="28"/>
          <w:lang w:val="uk-UA"/>
        </w:rPr>
        <w:t xml:space="preserve">в підтримати даний проєкт рішення.</w:t>
      </w:r>
      <w:r>
        <w:rPr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ГОЛОСУВАЛИ: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розміру плати за навчання на 2025-2026 навчальний рік по Комунальному закладу «Менська школа мистецтв»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внутрішньо переміщених осіб при Менській міській раді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Ради з питань внутрішньо переміщених осіб при Менській міській раді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комунальнувласність Менської міськоїтериторіальної громади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понува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в комунальнувласність Менської міськоїтериторіальної громади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Статуту Комунального закладу позашкільної освіти Менського центру дитячої та юнацької творчості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Статуту Комунального закладу позашкільної освіти Менського центру дитячої та юнацької творчості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структури та загальної чисельності Комунального закладу позашкільної освіти Менського центру дитячої та юнацької творчості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структури та загальної чисельності Комунального закладу позашкільної освіти Менського центру дитячої та юнацької творчості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порядок організації харчування учнів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закладах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 Менської міської ради з 01 вересня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порядок організації харчування учнів у закладах загальної середньої освіти Менської міської ради з 01 вересня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передавального акту Осьмаківського закладу дошкільної освіти (дитячий садок) «Капітошка» загального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передавального акту Осьмаківського закладу дошкільної освіти (дитячий садок) «Капітошка» загального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передавального акту Менського закладу дошкільної освіти (ясел-садка) «Калинонька» загального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передавального акту Менського закладу дошкільної освіти (ясел-садка) «Калинонька» загального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передавального акту Покровського закладу дошкільної освіти (дитячого садка) «Капітошка» загального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передавального акту Покровського закладу дошкільної освіти (дитячого садка) «Капітошка» загального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передавального акту Киселівського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 начальник Відділу освіти обгрунтувала необхідність змін.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передавального акту Киселівського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 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передавального акту Комунального закладу позашкільної освіти Менської станції юних техніків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передавального акту Комунального закладу позашкільної освіти Менської станції юних техніків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передавального акту Покровського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передавального акту Покровського закладу загальної середньої освіти І-ІІІ ступенів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штатної чисельності Степанівського міжшкільного навчально-виробничого комбінату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штатної чисельності Степанівського міжшкільного навчально-виробничого комбінату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Киселівську філію Менського опорного закладу загальної середньої освіти І-ІІІ ступенів ім.Т.Г.Шевченка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Киселівську філію Менського опорного закладу загальної середньої освіти І-ІІІ ступенів ім.Т.Г.Шевченка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Статуту Менського опорного закладу загальної середньої освіти І-ІІІ ступенів ім.Т.Г.Шевченка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78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Статуту Менського опорного закладу загальної середньої освіти І-ІІІ ступенів ім.Т.Г.Шевченка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«Шкільний автобус» на 2021 – 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«Шкільний автобус» на 2021 – 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Покровську філію Менського опорного закладу загальної середньої освіти І-ІІІ ступенів ім.Т.Г.Шевченка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Покровську філію Менського опорного закладу загальної середньої освіти І-ІІІ ступенів ім.Т.Г.Шевченка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Осьмаківську філію 'Капітошка' Менського закладу дошкільної освіти (ясла-садка) «Дитяча академія»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Осьмаківську філію 'Капітошка' Менського закладу дошкільної освіти (ясла-садка) «Дитяча академія»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загальної чисельності Менського опорного ЗЗСО І-ІІІ ступенів ім. Т.Г. 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загальної чисельності Менського опорного ЗЗСО І-ІІІ ступенів ім. Т.Г. 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загальної чисельності працівників Волосківської гімназії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загальної чисельності працівників Волосківської гімназії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структури та загальної штатної чисельності працівників закладів дошкільної освіти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структури та загальної штатної чисельності працівників закладів дошкільної освіти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Покровську філію «Капітошка» Менського закладу дошкільної освіти (ясла-садка) «Сонечко»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Покровську філію «Капітошка» Менського закладу дошкільної освіти (ясла-садка) «Сонечко»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Статуту Менського закладу дошкільної освіти (ясла-садок) «Сонечко» комбінованого типу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Статуту Менського закладу дошкільної освіти (ясла-садок) «Сонечко» комбінованого типу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Статуту Менського закладу дошкільної освіти (ясла-садка) «Дитяча академія» комбінованого типу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Статуту Менського закладу дошкільної освіти (ясла-садка) «Дитяча академія» комбінованого типу Менської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Філію «Калинонька» Менського закладу дошкільної освіти (ясла-садка) «Дитяча академія»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Філію «Калинонька» Менського закладу дошкільної освіти (ясла-садка) «Дитяча академія» комбінованого типу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складу комісії з питань найменування, перейменування, унормування назв географічних об’єктів та об’єктів топоніміки на території населених пунктів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складу комісії з питань найменування, перейменування, унормування назв географічних об’єктів та об’єктів топоніміки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населених пунктів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перейменування вулиці Григорія Кочура в місті Мена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перейменування вулиці Григорія Кочура в місті Мена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виключення майна з переліку об’єктів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структури Комунальної установи «Менський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центр соціальних служб»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Arial" w:cs="Times New Roman"/>
          <w:bCs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eastAsia="Arial" w:cs="Times New Roman"/>
          <w:bCs/>
          <w:sz w:val="28"/>
          <w:szCs w:val="28"/>
          <w:lang w:val="uk-UA"/>
        </w:rPr>
        <w:t xml:space="preserve">4</w:t>
      </w:r>
      <w:r>
        <w:rPr>
          <w:rFonts w:ascii="Times New Roman" w:hAnsi="Times New Roman" w:eastAsia="Arial" w:cs="Times New Roman"/>
          <w:bCs/>
          <w:sz w:val="28"/>
          <w:szCs w:val="28"/>
          <w:lang w:val="uk-UA"/>
        </w:rPr>
        <w:t xml:space="preserve">92</w:t>
      </w:r>
      <w:r>
        <w:rPr>
          <w:rFonts w:ascii="Times New Roman" w:hAnsi="Times New Roman" w:eastAsia="Arial" w:cs="Times New Roman"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структури Комунальної установи «Менський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центр соціальних служб» Менської міської ради</w:t>
      </w:r>
      <w:r>
        <w:rPr>
          <w:rFonts w:ascii="Times New Roman" w:hAnsi="Times New Roman" w:eastAsia="Arial" w:cs="Times New Roman"/>
          <w:bCs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нової редакції Положення про Комунальну установу «Менський міський центр соціальних служб»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нової редакції Положення про Комунальну установу «Менський міський центр соціальних служб»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типової угоди про соціальне партнерство для комунальних підприємств, установ,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типової угоди про соціальне партнерство для комунальних підприємств, установ,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організації харчування дітей в закладах загальної середньої освіти Менської міської ради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організації харчування дітей в закладах загальної середньої освіти Менської міської ради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типової форми контракту з директором Комунального підприємства «Менакомунпослуга»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типової форми контракту з директором Комунального підприємства «Менакомунпослуга»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чергового рангу посадової особи місцевого самоврядування старостам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чергового рангу посадової особи місцевого самоврядування старостам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56 сесії Менської міської ради 8 скликання від 19 грудня 2024 року № 750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взяття до відома Середньострокового плану пріоритетних публічних інвестицій Менської міської територіальної громади на 2026–2028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взяття до відома Середньострокового плану пріоритетних публічних інвестицій Менської міської територіальної громади на 2026–2028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Прогноз бюджету Менської міської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Прогноз бюджету Менської міської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звернення ПП «МІЖРАЙПАЛИВО» щодо розстрочення платежу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не був підтриманий депутатами. Головуючий поставив на голосування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звернення ПП «МІЖРАЙПАЛИВО» щодо розстрочення платежу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проєкт рішення додається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63 сесії Менської міської ради 8 скликання від 23.07.2025 року № 441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63 сесії Менської міської ради 8 скликання від 23.07.2025 року № 441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503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право оренди якої буде продано на земельних торгах (аукціоні)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право оренди якої буде продано на земельних торгах (аукціоні)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504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технічної документації із землеустрою щодо встановлення меж частини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яку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поширюється право земельного сервітуту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технічної документації із землеустрою щодо встановлення меж частини земельної ділянки на яку поширюється право земельного сервітуту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505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506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користування земельними ділянками наданими для городництва 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користування земельними ділянками наданими для городництва 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технічної документацій щодо поділу земельної ділянки ФГ «Бутенко»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54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 </w:t>
      </w:r>
      <w:r>
        <w:rPr>
          <w:sz w:val="28"/>
          <w:szCs w:val="28"/>
          <w:lang w:val="uk-UA"/>
        </w:rPr>
        <w:t xml:space="preserve">Бутенко Р.О. </w:t>
      </w:r>
      <w:r>
        <w:rPr>
          <w:color w:val="000000"/>
          <w:sz w:val="28"/>
          <w:szCs w:val="28"/>
          <w:lang w:val="uk-UA"/>
        </w:rPr>
        <w:t xml:space="preserve">заяви</w:t>
      </w:r>
      <w:r>
        <w:rPr>
          <w:color w:val="000000"/>
          <w:sz w:val="28"/>
          <w:szCs w:val="28"/>
          <w:lang w:val="uk-UA"/>
        </w:rPr>
        <w:t xml:space="preserve">в</w:t>
      </w:r>
      <w:r>
        <w:rPr>
          <w:color w:val="000000"/>
          <w:sz w:val="28"/>
          <w:szCs w:val="28"/>
          <w:lang w:val="uk-UA"/>
        </w:rPr>
        <w:t xml:space="preserve"> про наявний конфлікт інтересів і, що </w:t>
      </w:r>
      <w:r>
        <w:rPr>
          <w:sz w:val="28"/>
          <w:szCs w:val="28"/>
          <w:lang w:val="uk-UA"/>
        </w:rPr>
        <w:t xml:space="preserve">він не буде брати участь у прийнятті вказаного рішення: зокрема, в розгляді, обговоренні та голосуванні</w:t>
      </w:r>
      <w:r>
        <w:rPr>
          <w:color w:val="000000"/>
          <w:sz w:val="28"/>
          <w:szCs w:val="28"/>
          <w:lang w:val="uk-UA"/>
        </w:rPr>
        <w:t xml:space="preserve"> (ст. 59 з позначкою 1 Закону України «Про місцеве самоврядування в Україні»)</w:t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- 0, Не голосували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технічної документацій щодо поділу земельної ділянки ФГ «Бутенко»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ffffff" w:fill="auto"/>
        <w:tabs>
          <w:tab w:val="left" w:leader="none" w:pos="935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рішень Менської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рішень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щодо поділу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щодо поділу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проєкту землеустрою щодо відведення земельної ділянки на умовах оренди ТОВ «ЮТК» за межами с. Городище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проєкту землеустрою щодо відведення земельної ділянки на умовах оренди ТОВ «ЮТК» за межами с. Городище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земельних торгів (аукціону)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та доповнення, внесені за результатом розгляду на спільному засіданні постійних комісій, вже відображені у проєкті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поставив на голосування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земельних торгів (аукціону)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дозволів на виготовлення проєктів із землеустрою щодо відведення земельних ділянок на умовах оренди для городництва за межами с. Ушня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дозволів на виготовлення проєктів із землеустрою щодо відведення земельних ділянок на умовах оренди для городництва за межами с. Ушня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дозволів на виготовлення проєктів із землеустрою щодо відведення земельних ділянок на умовах оренди для городництва за межами м. 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дозволів на виготовлення проєктів із землеустрою щодо відведення земельних ділянок на умовах оренди для городництва за межами м. 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в наданні дозволів на виготовлення проєктів із землеустрою щодо відведення земельних ділянок на умовах оренди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доповнення вже внесені до проєкту рішення, запропонував підтр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в наданні дозволів на виготовлення проєктів із землеустрою щодо відведення земельних ділянок на умовах оренди для городництва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доповненнями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документації із землеустрою щодо поділу земельної ділянки, що перебуває в орендному користуванні Ющенко О.В.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виготовлення документації із землеустрою щодо поділу земельної ділянки, що перебуває в орендному користуванні Ющенко О.В.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ділянки, яка перебуває в оренді Вялько Л.С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ділянки, яка перебуває в оренді Вялько Л.С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договорів оренди землі з Коваленком А.В. на новий строк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укладання договорів оренди землі з Коваленком А.В. на новий строк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громадянам на розробку документації із землеустрою по встановленню меж земельних ділянок (паї)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Зінченк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О.А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Зінченку О.А.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ТОВ «СООР МЕНА»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даний проєкт рішення був розглянутий на спільному засіданні постійних депутатських комісій. Враховуючи, що запитань, зауважень і пропозицій не надходило, запросив підтримати даний проєкт рішення.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- 15, «Проти» - 0, «Утримались» - 0, Не голосували – 0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935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52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ділянки в оренду ТОВ «СООР 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ПРИЙНЯТО.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повідомив, що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 питання, які включені до порядку денного пленарного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скликання, розглянуті.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розділі «Різне» виступів не було. Пленарне засідання 65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</w:t>
      </w:r>
      <w:bookmarkStart w:id="0" w:name="_GoBack"/>
      <w:r>
        <w:rPr>
          <w:lang w:val="uk-UA"/>
        </w:rPr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8 скликання заплановане на 24 вересня 2025 року.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 оголосив закритим пленарне засідання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-ї сесії Менської міської ради 8 скликання.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ЗВУЧИТЬ ГІМН УКРАЇНИ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hanging="708"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2710617"/>
      <w:docPartObj>
        <w:docPartGallery w:val="Page Numbers (Top of Page)"/>
        <w:docPartUnique w:val="true"/>
      </w:docPartObj>
      <w:rPr/>
    </w:sdtPr>
    <w:sdtContent>
      <w:p>
        <w:pPr>
          <w:pStyle w:val="920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26</w:t>
        </w:r>
        <w:r>
          <w:fldChar w:fldCharType="end"/>
        </w:r>
        <w:r/>
      </w:p>
    </w:sdtContent>
  </w:sdt>
  <w:p>
    <w:pPr>
      <w:pStyle w:val="92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292b2c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pPr>
      <w:pBdr/>
      <w:spacing/>
      <w:ind/>
    </w:pPr>
  </w:style>
  <w:style w:type="paragraph" w:styleId="729">
    <w:name w:val="Heading 1"/>
    <w:basedOn w:val="728"/>
    <w:next w:val="728"/>
    <w:link w:val="91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9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91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9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91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9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5">
    <w:name w:val="Heading 7"/>
    <w:basedOn w:val="728"/>
    <w:next w:val="728"/>
    <w:link w:val="91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6">
    <w:name w:val="Heading 8"/>
    <w:basedOn w:val="728"/>
    <w:next w:val="728"/>
    <w:link w:val="91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7">
    <w:name w:val="Heading 9"/>
    <w:basedOn w:val="728"/>
    <w:next w:val="728"/>
    <w:link w:val="91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>
    <w:name w:val="Plain Table 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а простая 1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а простая 21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а проста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а проста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а проста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а-сетк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а-се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-се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а-се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-сетк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а-сетк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-сетк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Список-таблица 1 светл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Список-таблиц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Список-таблиц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Список-таблица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Список-таблица 5 тем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Список-таблица 6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Список-таблица 7 цветная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87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88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89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90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91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2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3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4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 w:customStyle="1">
    <w:name w:val="Title Char"/>
    <w:basedOn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6" w:customStyle="1">
    <w:name w:val="Subtitle Char"/>
    <w:basedOn w:val="7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 w:customStyle="1">
    <w:name w:val="Quote Char"/>
    <w:basedOn w:val="7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Intense Emphasis"/>
    <w:basedOn w:val="73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899" w:customStyle="1">
    <w:name w:val="Intense Quote Char"/>
    <w:basedOn w:val="73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00">
    <w:name w:val="Intense Reference"/>
    <w:basedOn w:val="73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0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903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90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6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907" w:customStyle="1">
    <w:name w:val="Foot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908" w:customStyle="1">
    <w:name w:val="Endnote Text Char"/>
    <w:basedOn w:val="738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910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1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2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13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4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5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6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</w:rPr>
  </w:style>
  <w:style w:type="character" w:styleId="917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</w:rPr>
  </w:style>
  <w:style w:type="character" w:styleId="918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</w:rPr>
  </w:style>
  <w:style w:type="character" w:styleId="919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0">
    <w:name w:val="Header"/>
    <w:basedOn w:val="728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Верхний колонтитул Знак"/>
    <w:basedOn w:val="738"/>
    <w:link w:val="920"/>
    <w:uiPriority w:val="99"/>
    <w:pPr>
      <w:pBdr/>
      <w:spacing/>
      <w:ind/>
    </w:pPr>
  </w:style>
  <w:style w:type="paragraph" w:styleId="922">
    <w:name w:val="Footer"/>
    <w:basedOn w:val="728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3" w:customStyle="1">
    <w:name w:val="Нижний колонтитул Знак"/>
    <w:basedOn w:val="738"/>
    <w:link w:val="922"/>
    <w:uiPriority w:val="99"/>
    <w:pPr>
      <w:pBdr/>
      <w:spacing/>
      <w:ind/>
    </w:pPr>
  </w:style>
  <w:style w:type="paragraph" w:styleId="924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925">
    <w:name w:val="No Spacing"/>
    <w:uiPriority w:val="1"/>
    <w:qFormat/>
    <w:pPr>
      <w:pBdr/>
      <w:spacing w:after="0" w:line="240" w:lineRule="auto"/>
      <w:ind/>
    </w:pPr>
  </w:style>
  <w:style w:type="paragraph" w:styleId="926">
    <w:name w:val="Title"/>
    <w:basedOn w:val="728"/>
    <w:next w:val="728"/>
    <w:link w:val="92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27" w:customStyle="1">
    <w:name w:val="Заголовок Знак"/>
    <w:basedOn w:val="738"/>
    <w:link w:val="926"/>
    <w:uiPriority w:val="10"/>
    <w:pPr>
      <w:pBdr/>
      <w:spacing/>
      <w:ind/>
    </w:pPr>
    <w:rPr>
      <w:sz w:val="48"/>
      <w:szCs w:val="48"/>
    </w:rPr>
  </w:style>
  <w:style w:type="paragraph" w:styleId="928">
    <w:name w:val="Subtitle"/>
    <w:basedOn w:val="728"/>
    <w:next w:val="728"/>
    <w:link w:val="92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29" w:customStyle="1">
    <w:name w:val="Подзаголовок Знак"/>
    <w:basedOn w:val="738"/>
    <w:link w:val="928"/>
    <w:uiPriority w:val="11"/>
    <w:pPr>
      <w:pBdr/>
      <w:spacing/>
      <w:ind/>
    </w:pPr>
    <w:rPr>
      <w:sz w:val="24"/>
      <w:szCs w:val="24"/>
    </w:rPr>
  </w:style>
  <w:style w:type="paragraph" w:styleId="930">
    <w:name w:val="Quote"/>
    <w:basedOn w:val="728"/>
    <w:next w:val="728"/>
    <w:link w:val="931"/>
    <w:uiPriority w:val="29"/>
    <w:qFormat/>
    <w:pPr>
      <w:pBdr/>
      <w:spacing/>
      <w:ind w:right="720" w:left="720"/>
    </w:pPr>
    <w:rPr>
      <w:i/>
    </w:rPr>
  </w:style>
  <w:style w:type="character" w:styleId="931" w:customStyle="1">
    <w:name w:val="Цитата 2 Знак"/>
    <w:basedOn w:val="738"/>
    <w:link w:val="930"/>
    <w:uiPriority w:val="29"/>
    <w:pPr>
      <w:pBdr/>
      <w:spacing/>
      <w:ind/>
    </w:pPr>
    <w:rPr>
      <w:i/>
    </w:rPr>
  </w:style>
  <w:style w:type="paragraph" w:styleId="932">
    <w:name w:val="Intense Quote"/>
    <w:basedOn w:val="728"/>
    <w:next w:val="728"/>
    <w:link w:val="93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3" w:customStyle="1">
    <w:name w:val="Выделенная цитата Знак"/>
    <w:basedOn w:val="738"/>
    <w:link w:val="932"/>
    <w:uiPriority w:val="30"/>
    <w:pPr>
      <w:pBdr/>
      <w:spacing/>
      <w:ind/>
    </w:pPr>
    <w:rPr>
      <w:i/>
      <w:shd w:val="clear" w:color="auto" w:fill="f2f2f2"/>
    </w:rPr>
  </w:style>
  <w:style w:type="character" w:styleId="934" w:customStyle="1">
    <w:name w:val="Header Char"/>
    <w:basedOn w:val="738"/>
    <w:uiPriority w:val="99"/>
    <w:pPr>
      <w:pBdr/>
      <w:spacing/>
      <w:ind/>
    </w:pPr>
  </w:style>
  <w:style w:type="character" w:styleId="935" w:customStyle="1">
    <w:name w:val="Footer Char"/>
    <w:basedOn w:val="738"/>
    <w:uiPriority w:val="99"/>
    <w:pPr>
      <w:pBdr/>
      <w:spacing/>
      <w:ind/>
    </w:pPr>
  </w:style>
  <w:style w:type="character" w:styleId="936" w:customStyle="1">
    <w:name w:val="Caption Char"/>
    <w:uiPriority w:val="99"/>
    <w:pPr>
      <w:pBdr/>
      <w:spacing/>
      <w:ind/>
    </w:pPr>
  </w:style>
  <w:style w:type="character" w:styleId="93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8" w:customStyle="1">
    <w:name w:val="Текст сноски Знак"/>
    <w:basedOn w:val="738"/>
    <w:link w:val="939"/>
    <w:uiPriority w:val="99"/>
    <w:semiHidden/>
    <w:pPr>
      <w:pBdr/>
      <w:spacing/>
      <w:ind/>
    </w:pPr>
    <w:rPr>
      <w:sz w:val="18"/>
    </w:rPr>
  </w:style>
  <w:style w:type="paragraph" w:styleId="939">
    <w:name w:val="footnote text"/>
    <w:basedOn w:val="728"/>
    <w:link w:val="93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0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character" w:styleId="941" w:customStyle="1">
    <w:name w:val="Текст концевой сноски Знак"/>
    <w:basedOn w:val="738"/>
    <w:link w:val="942"/>
    <w:uiPriority w:val="99"/>
    <w:semiHidden/>
    <w:pPr>
      <w:pBdr/>
      <w:spacing/>
      <w:ind/>
    </w:pPr>
    <w:rPr>
      <w:sz w:val="20"/>
    </w:rPr>
  </w:style>
  <w:style w:type="paragraph" w:styleId="942">
    <w:name w:val="endnote text"/>
    <w:basedOn w:val="728"/>
    <w:link w:val="94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paragraph" w:styleId="943">
    <w:name w:val="toc 1"/>
    <w:basedOn w:val="728"/>
    <w:next w:val="728"/>
    <w:uiPriority w:val="39"/>
    <w:unhideWhenUsed/>
    <w:pPr>
      <w:pBdr/>
      <w:spacing w:after="57"/>
      <w:ind/>
    </w:pPr>
  </w:style>
  <w:style w:type="paragraph" w:styleId="944">
    <w:name w:val="toc 2"/>
    <w:basedOn w:val="728"/>
    <w:next w:val="728"/>
    <w:uiPriority w:val="39"/>
    <w:unhideWhenUsed/>
    <w:pPr>
      <w:pBdr/>
      <w:spacing w:after="57"/>
      <w:ind w:left="283"/>
    </w:pPr>
  </w:style>
  <w:style w:type="paragraph" w:styleId="945">
    <w:name w:val="toc 3"/>
    <w:basedOn w:val="728"/>
    <w:next w:val="728"/>
    <w:uiPriority w:val="39"/>
    <w:unhideWhenUsed/>
    <w:pPr>
      <w:pBdr/>
      <w:spacing w:after="57"/>
      <w:ind w:left="567"/>
    </w:pPr>
  </w:style>
  <w:style w:type="paragraph" w:styleId="946">
    <w:name w:val="toc 4"/>
    <w:basedOn w:val="728"/>
    <w:next w:val="728"/>
    <w:uiPriority w:val="39"/>
    <w:unhideWhenUsed/>
    <w:pPr>
      <w:pBdr/>
      <w:spacing w:after="57"/>
      <w:ind w:left="850"/>
    </w:pPr>
  </w:style>
  <w:style w:type="paragraph" w:styleId="947">
    <w:name w:val="toc 5"/>
    <w:basedOn w:val="728"/>
    <w:next w:val="728"/>
    <w:uiPriority w:val="39"/>
    <w:unhideWhenUsed/>
    <w:pPr>
      <w:pBdr/>
      <w:spacing w:after="57"/>
      <w:ind w:left="1134"/>
    </w:pPr>
  </w:style>
  <w:style w:type="paragraph" w:styleId="948">
    <w:name w:val="toc 6"/>
    <w:basedOn w:val="728"/>
    <w:next w:val="728"/>
    <w:uiPriority w:val="39"/>
    <w:unhideWhenUsed/>
    <w:pPr>
      <w:pBdr/>
      <w:spacing w:after="57"/>
      <w:ind w:left="1417"/>
    </w:pPr>
  </w:style>
  <w:style w:type="paragraph" w:styleId="949">
    <w:name w:val="toc 7"/>
    <w:basedOn w:val="728"/>
    <w:next w:val="728"/>
    <w:uiPriority w:val="39"/>
    <w:unhideWhenUsed/>
    <w:pPr>
      <w:pBdr/>
      <w:spacing w:after="57"/>
      <w:ind w:left="1701"/>
    </w:pPr>
  </w:style>
  <w:style w:type="paragraph" w:styleId="950">
    <w:name w:val="toc 8"/>
    <w:basedOn w:val="728"/>
    <w:next w:val="728"/>
    <w:uiPriority w:val="39"/>
    <w:unhideWhenUsed/>
    <w:pPr>
      <w:pBdr/>
      <w:spacing w:after="57"/>
      <w:ind w:left="1984"/>
    </w:pPr>
  </w:style>
  <w:style w:type="paragraph" w:styleId="951">
    <w:name w:val="toc 9"/>
    <w:basedOn w:val="728"/>
    <w:next w:val="728"/>
    <w:uiPriority w:val="39"/>
    <w:unhideWhenUsed/>
    <w:pPr>
      <w:pBdr/>
      <w:spacing w:after="57"/>
      <w:ind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table of figures"/>
    <w:basedOn w:val="728"/>
    <w:next w:val="728"/>
    <w:uiPriority w:val="99"/>
    <w:unhideWhenUsed/>
    <w:pPr>
      <w:pBdr/>
      <w:spacing w:after="0"/>
      <w:ind/>
    </w:pPr>
  </w:style>
  <w:style w:type="paragraph" w:styleId="954">
    <w:name w:val="Normal (Web)"/>
    <w:basedOn w:val="72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5" w:customStyle="1">
    <w:name w:val="docdata"/>
    <w:basedOn w:val="738"/>
    <w:pPr>
      <w:pBdr/>
      <w:spacing/>
      <w:ind/>
    </w:pPr>
  </w:style>
  <w:style w:type="paragraph" w:styleId="956" w:customStyle="1">
    <w:name w:val="5873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3099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>
    <w:name w:val="Balloon Text"/>
    <w:basedOn w:val="728"/>
    <w:link w:val="95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9" w:customStyle="1">
    <w:name w:val="Текст выноски Знак"/>
    <w:basedOn w:val="738"/>
    <w:link w:val="95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0" w:customStyle="1">
    <w:name w:val="docy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СТАЛЬНИЧЕНКО Юрій Валерійович</cp:lastModifiedBy>
  <cp:revision>5</cp:revision>
  <dcterms:created xsi:type="dcterms:W3CDTF">2025-09-02T06:34:00Z</dcterms:created>
  <dcterms:modified xsi:type="dcterms:W3CDTF">2025-09-02T12:43:21Z</dcterms:modified>
</cp:coreProperties>
</file>