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7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Style w:val="847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 w:right="0" w:firstLine="0" w:left="0"/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20</w:t>
      </w: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 серпня </w:t>
      </w: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2025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року 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                         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 w:eastAsia="hi-IN" w:bidi="hi-IN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ab/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№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223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</w:rPr>
        <w:t xml:space="preserve">                           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Bdr/>
        <w:spacing w:after="0" w:line="240" w:lineRule="auto"/>
        <w:ind w:right="0" w:firstLine="0" w:left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Про скликання виконкому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pPr>
      <w:r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r>
      <w:r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r>
      <w:r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r>
    </w:p>
    <w:p>
      <w:pPr>
        <w:pBdr/>
        <w:tabs>
          <w:tab w:val="left" w:leader="none" w:pos="567"/>
          <w:tab w:val="clear" w:leader="none" w:pos="1134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Враховуючи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службові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записки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начальника відділу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міжнародного співробітництва та економічного розвитку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Скороход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С.В.,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начальника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відділу  житлово-комунального господарства та комунального майна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Менс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ької міської ради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Єкименко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І.В.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начальника юридичного відділу Менської міської ради Марцевої Т.І.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про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розгляд на засіданні виконавчого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коміт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ту Менської міської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ради питань, які потребують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термінового вирішення, а саме: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про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розміщення споруди електронних комунікацій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з метою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недопущення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порушення встановленого законом строку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розгляду звернення щодо розміщення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передачу майна (компостерів) КП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Менакомунпослуга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з метою забезпечення належної організації роботи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підприємства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щодо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управління побутовими відходами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, про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Прогноз</w:t>
      </w:r>
      <w:r>
        <w:rPr>
          <w:rFonts w:ascii="Times New Roman" w:hAnsi="Times New Roman" w:cs="Times New Roman"/>
          <w:sz w:val="28"/>
          <w:szCs w:val="28"/>
        </w:rPr>
        <w:t xml:space="preserve"> бюджету Менської міської територіальної громади на 2026-2028 роки</w:t>
      </w:r>
      <w:r>
        <w:rPr>
          <w:rFonts w:ascii="Times New Roman" w:hAnsi="Times New Roman" w:cs="Times New Roman"/>
          <w:sz w:val="28"/>
          <w:szCs w:val="28"/>
        </w:rPr>
        <w:t xml:space="preserve"> та про Середньостроковий  план</w:t>
      </w:r>
      <w:r>
        <w:rPr>
          <w:rFonts w:ascii="Times New Roman" w:hAnsi="Times New Roman" w:cs="Times New Roman"/>
          <w:sz w:val="28"/>
          <w:szCs w:val="28"/>
        </w:rPr>
        <w:t xml:space="preserve"> пріоритетних публічних </w:t>
      </w:r>
      <w:r>
        <w:rPr>
          <w:rFonts w:ascii="Times New Roman" w:hAnsi="Times New Roman" w:cs="Times New Roman"/>
          <w:sz w:val="28"/>
          <w:szCs w:val="28"/>
        </w:rPr>
        <w:t xml:space="preserve">інвестицій Менської міської територіальної громади на 2026–2028 роки</w:t>
      </w:r>
      <w:r>
        <w:rPr>
          <w:rFonts w:ascii="Times New Roman" w:hAnsi="Times New Roman" w:cs="Times New Roman"/>
          <w:sz w:val="28"/>
          <w:szCs w:val="28"/>
        </w:rPr>
        <w:t xml:space="preserve">, з метою </w:t>
      </w:r>
      <w:r>
        <w:rPr>
          <w:rFonts w:ascii="Times New Roman" w:hAnsi="Times New Roman" w:cs="Times New Roman"/>
          <w:sz w:val="28"/>
          <w:szCs w:val="28"/>
        </w:rPr>
        <w:t xml:space="preserve">дотримання термінів розгл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яду, оперативного опрацювання та погодження документів для винесення на чергову сесію Менської міської ради, яка відбудеться 27 серпня 2025 року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;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керуючись  ст. ст. 42, </w:t>
      </w:r>
      <w:r>
        <w:rPr>
          <w:rFonts w:ascii="Times New Roman" w:hAnsi="Times New Roman" w:eastAsia="Calibri" w:cs="Times New Roman"/>
          <w:sz w:val="28"/>
          <w:szCs w:val="28"/>
        </w:rPr>
        <w:t xml:space="preserve">50, </w:t>
      </w:r>
      <w:r>
        <w:rPr>
          <w:rFonts w:ascii="Times New Roman" w:hAnsi="Times New Roman" w:eastAsia="Calibri" w:cs="Times New Roman"/>
          <w:sz w:val="28"/>
          <w:szCs w:val="28"/>
        </w:rPr>
        <w:t xml:space="preserve">53 Закону України «Про місцеве самоврядування в Україні»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Регламентом роботи виконавчого комітету Менської міської ради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із змінами і доповненнями</w:t>
      </w:r>
      <w:r>
        <w:rPr>
          <w:rFonts w:ascii="Times New Roman" w:hAnsi="Times New Roman" w:eastAsia="Calibri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/>
      <w:bookmarkStart w:id="1" w:name="_Hlk45557607"/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      1. Скликати позачергове засідання  виконавчого комітету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енської міської ради 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22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серпня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2025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р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оку о **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-**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год.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Питання, що винося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ться на розгляд на засідання:</w:t>
      </w:r>
      <w:r>
        <w:rPr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затвердження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Середньострокового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плану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іоритетних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публічних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інвестицій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Менської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міської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територіальної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громади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2026–2028 роки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Доповідає Скороход Сергій Віталійович, начальник відділу міжнародного співробітництва та економічного розвитку Менської міської ради.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схвалення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Прогнозу бюджету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Менської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міської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територіальної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громади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2026-2028 роки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Доповідає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Максименко Валентина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Анатоліївна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заступник начальника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Фінасового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Менської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міської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майна 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господарське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відання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Комунальному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ідприємству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Менакомунпослуга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Менської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міської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Доповідає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Єкименко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Валеріївна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начальник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відділу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житлово-комунального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господарства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комунального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майна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Менської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міської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4)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розміщення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споруди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електронних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комунікацій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Юкрейн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Тауер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Компані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Доповідає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Марцева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Тетяна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Іванівна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начальник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юридичного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відділу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Менської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міської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Засідання провести в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приміщенні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 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(****)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по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вул. ****, № **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 в м.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.</w:t>
      </w:r>
      <w:bookmarkEnd w:id="1"/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r>
    </w:p>
    <w:p>
      <w:pPr>
        <w:pBdr/>
        <w:tabs>
          <w:tab w:val="left" w:leader="none" w:pos="567"/>
        </w:tabs>
        <w:spacing w:after="0" w:line="240" w:lineRule="auto"/>
        <w:ind w:right="0" w:firstLine="0" w:left="0"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highlight w:val="none"/>
          <w:lang w:bidi="en-US"/>
        </w:rPr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highlight w:val="none"/>
          <w:lang w:bidi="en-US"/>
        </w:rPr>
      </w:r>
    </w:p>
    <w:p>
      <w:pPr>
        <w:pBdr/>
        <w:tabs>
          <w:tab w:val="left" w:leader="none" w:pos="567"/>
        </w:tabs>
        <w:spacing w:after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en-US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  <w:t xml:space="preserve">Секретар ради                                                               Юрій СТАЛЬНИЧЕНКО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2025-09-08T08:54:32Z</dcterms:modified>
</cp:coreProperties>
</file>