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81"/>
        <w:pBdr/>
        <w:spacing/>
        <w:ind w:right="-57" w:left="6096"/>
        <w:rPr>
          <w:b/>
          <w:sz w:val="28"/>
          <w:szCs w:val="28"/>
          <w:lang w:val="uk-UA"/>
        </w:rPr>
      </w:pPr>
      <w:r>
        <w:rPr>
          <w:rStyle w:val="901"/>
        </w:rPr>
        <w:t xml:space="preserve">Додаток до рішення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01"/>
          <w:lang w:val="uk-UA"/>
        </w:rPr>
        <w:t xml:space="preserve">64 сесії</w:t>
      </w:r>
      <w:r>
        <w:rPr>
          <w:rStyle w:val="901"/>
        </w:rPr>
        <w:t xml:space="preserve"> Менської</w:t>
      </w:r>
      <w:r>
        <w:rPr>
          <w:color w:val="000000"/>
          <w:sz w:val="28"/>
          <w:szCs w:val="28"/>
        </w:rPr>
        <w:t xml:space="preserve"> </w:t>
      </w:r>
      <w:r>
        <w:rPr>
          <w:rStyle w:val="901"/>
        </w:rPr>
        <w:t xml:space="preserve">міської ради</w:t>
      </w:r>
      <w:r>
        <w:rPr>
          <w:rStyle w:val="901"/>
          <w:lang w:val="uk-UA"/>
        </w:rPr>
        <w:t xml:space="preserve"> 8 скликання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01"/>
          <w:lang w:val="uk-UA"/>
        </w:rPr>
        <w:t xml:space="preserve">27</w:t>
      </w:r>
      <w:r>
        <w:rPr>
          <w:rStyle w:val="901"/>
          <w:lang w:val="uk-UA"/>
        </w:rPr>
        <w:t xml:space="preserve"> серпня</w:t>
      </w:r>
      <w:r>
        <w:rPr>
          <w:rStyle w:val="901"/>
        </w:rPr>
        <w:t xml:space="preserve"> 2025</w:t>
      </w:r>
      <w:r>
        <w:rPr>
          <w:rStyle w:val="901"/>
        </w:rPr>
        <w:t xml:space="preserve"> року №</w:t>
      </w:r>
      <w:r>
        <w:rPr>
          <w:rStyle w:val="901"/>
          <w:lang w:val="uk-UA"/>
        </w:rPr>
        <w:t xml:space="preserve"> 454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81"/>
        <w:pBdr/>
        <w:spacing/>
        <w:ind w:right="-5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81"/>
        <w:pBdr/>
        <w:spacing/>
        <w:ind w:right="-5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ПОЯСНЮВАЛЬНА ЗАПИСКА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86"/>
        <w:pBdr/>
        <w:spacing/>
        <w:ind w:firstLine="567"/>
        <w:rPr>
          <w:b/>
        </w:rPr>
      </w:pPr>
      <w:r>
        <w:rPr>
          <w:b/>
        </w:rPr>
        <w:t xml:space="preserve">про виконання бюдж</w:t>
      </w:r>
      <w:r>
        <w:rPr>
          <w:b/>
        </w:rPr>
        <w:t xml:space="preserve">ету Менської міської </w:t>
      </w:r>
      <w:r>
        <w:rPr>
          <w:b/>
        </w:rPr>
        <w:t xml:space="preserve">територіальної громади </w:t>
      </w:r>
      <w:r>
        <w:rPr>
          <w:b/>
        </w:rPr>
      </w:r>
      <w:r>
        <w:rPr>
          <w:b/>
        </w:rPr>
      </w:r>
    </w:p>
    <w:p>
      <w:pPr>
        <w:pStyle w:val="886"/>
        <w:pBdr/>
        <w:spacing/>
        <w:ind w:firstLine="567"/>
        <w:rPr>
          <w:b/>
        </w:rPr>
      </w:pPr>
      <w:r>
        <w:rPr>
          <w:b/>
        </w:rPr>
        <w:t xml:space="preserve">за</w:t>
      </w:r>
      <w:r>
        <w:rPr>
          <w:b/>
        </w:rPr>
        <w:t xml:space="preserve"> </w:t>
      </w:r>
      <w:r>
        <w:rPr>
          <w:b/>
        </w:rPr>
        <w:t xml:space="preserve">1 півріччя</w:t>
      </w:r>
      <w:r>
        <w:rPr>
          <w:b/>
        </w:rPr>
        <w:t xml:space="preserve"> </w:t>
      </w:r>
      <w:r>
        <w:rPr>
          <w:b/>
        </w:rPr>
        <w:t xml:space="preserve">202</w:t>
      </w:r>
      <w:r>
        <w:rPr>
          <w:b/>
        </w:rPr>
        <w:t xml:space="preserve">5</w:t>
      </w:r>
      <w:r>
        <w:rPr>
          <w:b/>
        </w:rPr>
        <w:t xml:space="preserve"> </w:t>
      </w:r>
      <w:r>
        <w:rPr>
          <w:b/>
        </w:rPr>
        <w:t xml:space="preserve">року</w:t>
      </w:r>
      <w:r>
        <w:rPr>
          <w:b/>
        </w:rPr>
      </w:r>
      <w:r>
        <w:rPr>
          <w:b/>
        </w:rPr>
      </w:r>
    </w:p>
    <w:p>
      <w:pPr>
        <w:pStyle w:val="888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Підсумки виконання дохідної частини загально</w:t>
      </w:r>
      <w:r>
        <w:rPr>
          <w:sz w:val="28"/>
          <w:szCs w:val="28"/>
          <w:lang w:val="uk-UA"/>
        </w:rPr>
        <w:t xml:space="preserve">го фонду бюджету Менської ТГ за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 півріччя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202</w:t>
      </w:r>
      <w:r>
        <w:rPr>
          <w:sz w:val="28"/>
          <w:szCs w:val="28"/>
          <w:lang w:val="uk-UA"/>
        </w:rPr>
        <w:t xml:space="preserve">5 року</w:t>
      </w:r>
      <w:r>
        <w:rPr>
          <w:sz w:val="28"/>
          <w:szCs w:val="28"/>
          <w:lang w:val="uk-UA"/>
        </w:rPr>
        <w:t xml:space="preserve"> свідчать про те, що план надходжень податків, зборів, платежів (без міжбюджетних</w:t>
      </w:r>
      <w:r>
        <w:rPr>
          <w:sz w:val="28"/>
          <w:szCs w:val="28"/>
          <w:lang w:val="uk-UA"/>
        </w:rPr>
        <w:t xml:space="preserve"> трансфертів) виконано на </w:t>
      </w:r>
      <w:r>
        <w:rPr>
          <w:sz w:val="28"/>
          <w:szCs w:val="28"/>
          <w:lang w:val="uk-UA"/>
        </w:rPr>
        <w:t xml:space="preserve">103,1</w:t>
      </w:r>
      <w:r>
        <w:rPr>
          <w:sz w:val="28"/>
          <w:szCs w:val="28"/>
          <w:lang w:val="uk-UA"/>
        </w:rPr>
        <w:t xml:space="preserve">%, </w:t>
      </w:r>
      <w:r>
        <w:rPr>
          <w:sz w:val="28"/>
          <w:szCs w:val="28"/>
          <w:lang w:val="uk-UA"/>
        </w:rPr>
        <w:t xml:space="preserve">пере</w:t>
      </w:r>
      <w:r>
        <w:rPr>
          <w:sz w:val="28"/>
          <w:szCs w:val="28"/>
          <w:lang w:val="uk-UA"/>
        </w:rPr>
        <w:t xml:space="preserve">виконання становить </w:t>
      </w:r>
      <w:r>
        <w:rPr>
          <w:sz w:val="28"/>
          <w:szCs w:val="28"/>
          <w:lang w:val="uk-UA"/>
        </w:rPr>
        <w:t xml:space="preserve">3 346,9</w:t>
      </w:r>
      <w:r>
        <w:rPr>
          <w:sz w:val="28"/>
          <w:szCs w:val="28"/>
          <w:lang w:val="uk-UA"/>
        </w:rPr>
        <w:t xml:space="preserve">,0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(план – </w:t>
      </w:r>
      <w:r>
        <w:rPr>
          <w:sz w:val="28"/>
          <w:szCs w:val="28"/>
          <w:lang w:val="uk-UA"/>
        </w:rPr>
        <w:t xml:space="preserve">108 157,3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факт – </w:t>
      </w:r>
      <w:r>
        <w:rPr>
          <w:sz w:val="28"/>
          <w:szCs w:val="28"/>
          <w:lang w:val="uk-UA"/>
        </w:rPr>
        <w:t xml:space="preserve">111 504,2</w:t>
      </w:r>
      <w:r>
        <w:rPr>
          <w:sz w:val="28"/>
          <w:szCs w:val="28"/>
          <w:lang w:val="uk-UA"/>
        </w:rPr>
        <w:t xml:space="preserve"> тис. грн):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u w:val="single"/>
          <w:lang w:val="uk-UA"/>
        </w:rPr>
        <w:t xml:space="preserve">податкові надходження </w:t>
      </w:r>
      <w:r>
        <w:rPr>
          <w:sz w:val="28"/>
          <w:szCs w:val="28"/>
          <w:lang w:val="uk-UA"/>
        </w:rPr>
        <w:t xml:space="preserve">виконані на </w:t>
      </w:r>
      <w:r>
        <w:rPr>
          <w:sz w:val="28"/>
          <w:szCs w:val="28"/>
          <w:lang w:val="uk-UA"/>
        </w:rPr>
        <w:t xml:space="preserve">103,1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%, </w:t>
      </w:r>
      <w:r>
        <w:rPr>
          <w:sz w:val="28"/>
          <w:szCs w:val="28"/>
          <w:lang w:val="uk-UA"/>
        </w:rPr>
        <w:t xml:space="preserve">пере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иконання становить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3 251,1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u w:val="single"/>
          <w:lang w:val="uk-UA"/>
        </w:rPr>
        <w:t xml:space="preserve">неподаткові надходження</w:t>
      </w:r>
      <w:r>
        <w:rPr>
          <w:sz w:val="28"/>
          <w:szCs w:val="28"/>
          <w:lang w:val="uk-UA"/>
        </w:rPr>
        <w:t xml:space="preserve"> виконані на </w:t>
      </w:r>
      <w:r>
        <w:rPr>
          <w:sz w:val="28"/>
          <w:szCs w:val="28"/>
          <w:lang w:val="uk-UA"/>
        </w:rPr>
        <w:t xml:space="preserve">102,6</w:t>
      </w:r>
      <w:r>
        <w:rPr>
          <w:sz w:val="28"/>
          <w:szCs w:val="28"/>
          <w:lang w:val="uk-UA"/>
        </w:rPr>
        <w:t xml:space="preserve"> %</w:t>
      </w:r>
      <w:r>
        <w:rPr>
          <w:sz w:val="28"/>
          <w:szCs w:val="28"/>
          <w:lang w:val="uk-UA"/>
        </w:rPr>
        <w:t xml:space="preserve">, перевиконання становить  </w:t>
      </w:r>
      <w:r>
        <w:rPr>
          <w:sz w:val="28"/>
          <w:szCs w:val="28"/>
          <w:lang w:val="uk-UA"/>
        </w:rPr>
        <w:t xml:space="preserve">95,8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Надходження дотацій та субвенцій складають –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70 450,3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в тому числі: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базо</w:t>
      </w:r>
      <w:r>
        <w:rPr>
          <w:sz w:val="28"/>
          <w:szCs w:val="28"/>
          <w:lang w:val="uk-UA"/>
        </w:rPr>
        <w:t xml:space="preserve">ва дотація (41020100) – </w:t>
      </w:r>
      <w:r>
        <w:rPr>
          <w:sz w:val="28"/>
          <w:szCs w:val="28"/>
          <w:lang w:val="uk-UA"/>
        </w:rPr>
        <w:t xml:space="preserve">12 103,8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харчоблоки (41033500) – 4 798,5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освітня</w:t>
      </w:r>
      <w:r>
        <w:rPr>
          <w:sz w:val="28"/>
          <w:szCs w:val="28"/>
          <w:lang w:val="uk-UA"/>
        </w:rPr>
        <w:t xml:space="preserve"> субвенція (41033900) – </w:t>
      </w:r>
      <w:r>
        <w:rPr>
          <w:sz w:val="28"/>
          <w:szCs w:val="28"/>
          <w:lang w:val="uk-UA"/>
        </w:rPr>
        <w:t xml:space="preserve">45 120,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підтримку осіб з особливими осв</w:t>
      </w:r>
      <w:r>
        <w:rPr>
          <w:sz w:val="28"/>
          <w:szCs w:val="28"/>
          <w:lang w:val="uk-UA"/>
        </w:rPr>
        <w:t xml:space="preserve">ітніми потребами (41035400) – 168</w:t>
      </w:r>
      <w:r>
        <w:rPr>
          <w:sz w:val="28"/>
          <w:szCs w:val="28"/>
          <w:lang w:val="uk-UA"/>
        </w:rPr>
        <w:t xml:space="preserve">,0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</w:t>
      </w:r>
      <w:r>
        <w:rPr>
          <w:sz w:val="28"/>
          <w:szCs w:val="28"/>
          <w:lang w:val="uk-UA"/>
        </w:rPr>
        <w:t xml:space="preserve">убвенція НУШ на реалізацію інвестиційного проекту (41036000) – 716,4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доплату педагогам (41036300)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3 622,8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житло (41050200) – 2 750,9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інклюзивно-ресурсний центр за рахунок освітн</w:t>
      </w:r>
      <w:r>
        <w:rPr>
          <w:sz w:val="28"/>
          <w:szCs w:val="28"/>
          <w:lang w:val="uk-UA"/>
        </w:rPr>
        <w:t xml:space="preserve">ь</w:t>
      </w:r>
      <w:r>
        <w:rPr>
          <w:sz w:val="28"/>
          <w:szCs w:val="28"/>
          <w:lang w:val="uk-UA"/>
        </w:rPr>
        <w:t xml:space="preserve">ої субвенції (41051000) –965,4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інші субвенції з місцевого бюджету (41053900) – </w:t>
      </w:r>
      <w:r>
        <w:rPr>
          <w:sz w:val="28"/>
          <w:szCs w:val="28"/>
          <w:lang w:val="uk-UA"/>
        </w:rPr>
        <w:t xml:space="preserve">204,3</w:t>
      </w:r>
      <w:r>
        <w:rPr>
          <w:sz w:val="28"/>
          <w:szCs w:val="28"/>
          <w:lang w:val="uk-UA"/>
        </w:rPr>
        <w:t xml:space="preserve"> тис. грн, з них: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утримання об’єкта спільного користування Менського центру ПМСД (з</w:t>
      </w:r>
      <w:r>
        <w:rPr>
          <w:sz w:val="28"/>
          <w:szCs w:val="28"/>
          <w:lang w:val="uk-UA"/>
        </w:rPr>
        <w:t xml:space="preserve"> бюджету</w:t>
      </w:r>
      <w:r>
        <w:rPr>
          <w:sz w:val="28"/>
          <w:szCs w:val="28"/>
          <w:lang w:val="uk-UA"/>
        </w:rPr>
        <w:t xml:space="preserve"> Березнянської ТГ) – </w:t>
      </w:r>
      <w:r>
        <w:rPr>
          <w:sz w:val="28"/>
          <w:szCs w:val="28"/>
          <w:lang w:val="uk-UA"/>
        </w:rPr>
        <w:t xml:space="preserve">12</w:t>
      </w:r>
      <w:r>
        <w:rPr>
          <w:sz w:val="28"/>
          <w:szCs w:val="28"/>
          <w:lang w:val="uk-UA"/>
        </w:rPr>
        <w:t xml:space="preserve">0,0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пільгове медичне обслуговування осіб, які постраждали внаслідок Чорнобильської катаст</w:t>
      </w:r>
      <w:r>
        <w:rPr>
          <w:sz w:val="28"/>
          <w:szCs w:val="28"/>
          <w:lang w:val="uk-UA"/>
        </w:rPr>
        <w:t xml:space="preserve">рофи (з обласного бюджету) – </w:t>
      </w:r>
      <w:r>
        <w:rPr>
          <w:sz w:val="28"/>
          <w:szCs w:val="28"/>
          <w:lang w:val="uk-UA"/>
        </w:rPr>
        <w:t xml:space="preserve">19,3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виконання депутатських повноважень (з обласного бюджету) – 65,0 тис. грн.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Видаткова частина загального фо</w:t>
      </w:r>
      <w:r>
        <w:rPr>
          <w:sz w:val="28"/>
          <w:szCs w:val="28"/>
          <w:lang w:val="uk-UA"/>
        </w:rPr>
        <w:t xml:space="preserve">нду </w:t>
      </w:r>
      <w:r>
        <w:rPr>
          <w:sz w:val="28"/>
          <w:szCs w:val="28"/>
          <w:lang w:val="uk-UA"/>
        </w:rPr>
        <w:t xml:space="preserve">бюджету виконана в сумі </w:t>
      </w:r>
      <w:r>
        <w:rPr>
          <w:sz w:val="28"/>
          <w:szCs w:val="28"/>
          <w:lang w:val="uk-UA"/>
        </w:rPr>
        <w:t xml:space="preserve">163 948,1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, що складає </w:t>
      </w:r>
      <w:r>
        <w:rPr>
          <w:sz w:val="28"/>
          <w:szCs w:val="28"/>
          <w:lang w:val="uk-UA"/>
        </w:rPr>
        <w:t xml:space="preserve">84,9</w:t>
      </w:r>
      <w:r>
        <w:rPr>
          <w:sz w:val="28"/>
          <w:szCs w:val="28"/>
          <w:lang w:val="uk-UA"/>
        </w:rPr>
        <w:t xml:space="preserve"> % до планового періоду, а саме на: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оплату праці працівників бюджетних установ та нарахування на неї – </w:t>
      </w:r>
      <w:r>
        <w:rPr>
          <w:sz w:val="28"/>
          <w:szCs w:val="28"/>
          <w:lang w:val="uk-UA"/>
        </w:rPr>
        <w:t xml:space="preserve">121 212,4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 </w:t>
      </w:r>
      <w:r>
        <w:rPr>
          <w:sz w:val="28"/>
          <w:szCs w:val="28"/>
          <w:lang w:val="uk-UA"/>
        </w:rPr>
        <w:t xml:space="preserve">(73,9 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спожиті енергоносії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13 601,0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8,3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придбання продуктів харчування – </w:t>
      </w:r>
      <w:r>
        <w:rPr>
          <w:sz w:val="28"/>
          <w:szCs w:val="28"/>
          <w:lang w:val="uk-UA"/>
        </w:rPr>
        <w:t xml:space="preserve">3 667,3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</w:t>
      </w:r>
      <w:r>
        <w:rPr>
          <w:sz w:val="28"/>
          <w:szCs w:val="28"/>
          <w:lang w:val="uk-UA"/>
        </w:rPr>
        <w:t xml:space="preserve">2,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медикаменти – </w:t>
      </w:r>
      <w:r>
        <w:rPr>
          <w:sz w:val="28"/>
          <w:szCs w:val="28"/>
          <w:lang w:val="uk-UA"/>
        </w:rPr>
        <w:t xml:space="preserve">54,0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виплати населенню – </w:t>
      </w:r>
      <w:r>
        <w:rPr>
          <w:sz w:val="28"/>
          <w:szCs w:val="28"/>
          <w:lang w:val="uk-UA"/>
        </w:rPr>
        <w:t xml:space="preserve">2 894,6 тис. грн (1,8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субсидії і поточні трансферти</w:t>
      </w:r>
      <w:r>
        <w:rPr>
          <w:sz w:val="28"/>
          <w:szCs w:val="28"/>
          <w:lang w:val="uk-UA"/>
        </w:rPr>
        <w:t xml:space="preserve"> підприємствам – 9 375,6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5,7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субвенції з місцевого бюджету – </w:t>
      </w:r>
      <w:r>
        <w:rPr>
          <w:sz w:val="28"/>
          <w:szCs w:val="28"/>
          <w:lang w:val="uk-UA"/>
        </w:rPr>
        <w:t xml:space="preserve">2 162,8 тис. грн (1,3</w:t>
      </w:r>
      <w:r>
        <w:rPr>
          <w:sz w:val="28"/>
          <w:szCs w:val="28"/>
          <w:lang w:val="uk-UA"/>
        </w:rPr>
        <w:t xml:space="preserve">% загальної суми видатків)</w:t>
      </w:r>
      <w:r>
        <w:rPr>
          <w:sz w:val="28"/>
          <w:szCs w:val="28"/>
          <w:lang w:val="uk-UA"/>
        </w:rPr>
        <w:t xml:space="preserve">, а саме: </w:t>
      </w: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утримання бригад Бірківського та Макошинського пунктів Менської підстанції Корюківської станції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Е(Ш)МД</w:t>
      </w:r>
      <w:r>
        <w:rPr>
          <w:sz w:val="28"/>
          <w:szCs w:val="28"/>
          <w:lang w:val="uk-UA"/>
        </w:rPr>
        <w:t xml:space="preserve"> в сумі 1 963,8 тис. грн та на проведення поточного ремонту на Менській підстанції в сумі 199,0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субвенції з місцевого бюджету державному бюджету – 1 156,0 тис. грн</w:t>
      </w:r>
      <w:r>
        <w:rPr>
          <w:sz w:val="28"/>
          <w:szCs w:val="28"/>
          <w:lang w:val="uk-UA"/>
        </w:rPr>
        <w:t xml:space="preserve"> (0,7% загальної суми видатків)</w:t>
      </w:r>
      <w:r>
        <w:rPr>
          <w:sz w:val="28"/>
          <w:szCs w:val="28"/>
          <w:lang w:val="uk-UA"/>
        </w:rPr>
        <w:t xml:space="preserve">, а саме: на проведення ремонтних робіт, необхідних для впровадження системи "Custody Records" в відділенні поліції №1 м.Мена в сумі 800,0 тис. </w:t>
      </w:r>
      <w:r>
        <w:rPr>
          <w:sz w:val="28"/>
          <w:szCs w:val="28"/>
          <w:lang w:val="uk-UA"/>
        </w:rPr>
        <w:t xml:space="preserve">грн;</w:t>
      </w:r>
      <w:r>
        <w:rPr>
          <w:sz w:val="28"/>
          <w:szCs w:val="28"/>
          <w:lang w:val="uk-UA"/>
        </w:rPr>
        <w:t xml:space="preserve"> на паливо-мастильні матеріали для відділення поліції №1 м.Мена в сумі 150,0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Регіональному сервісному центру ГСЦ МВС на облаштування в ТСЦ №7444 (м.Мена) додаткової споруди (санвузла пристосованого для маломобільних груп населення</w:t>
      </w:r>
      <w:r>
        <w:rPr>
          <w:sz w:val="28"/>
          <w:szCs w:val="28"/>
          <w:lang w:val="uk-UA"/>
        </w:rPr>
        <w:t xml:space="preserve">)</w:t>
      </w:r>
      <w:r>
        <w:rPr>
          <w:sz w:val="28"/>
          <w:szCs w:val="28"/>
          <w:lang w:val="uk-UA"/>
        </w:rPr>
        <w:t xml:space="preserve"> в сумі 200,0 тис. грн</w:t>
      </w:r>
      <w:r>
        <w:rPr>
          <w:sz w:val="28"/>
          <w:szCs w:val="28"/>
          <w:lang w:val="uk-UA"/>
        </w:rPr>
        <w:t xml:space="preserve">; на ЗСУ в сумі 6,0 тис. </w:t>
      </w:r>
      <w:r>
        <w:rPr>
          <w:sz w:val="28"/>
          <w:szCs w:val="28"/>
          <w:lang w:val="uk-UA"/>
        </w:rPr>
        <w:t xml:space="preserve">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видатки – </w:t>
      </w:r>
      <w:r>
        <w:rPr>
          <w:sz w:val="28"/>
          <w:szCs w:val="28"/>
          <w:lang w:val="uk-UA"/>
        </w:rPr>
        <w:t xml:space="preserve">9824,4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(що скла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ає </w:t>
      </w:r>
      <w:r>
        <w:rPr>
          <w:sz w:val="28"/>
          <w:szCs w:val="28"/>
          <w:lang w:val="uk-UA"/>
        </w:rPr>
        <w:t xml:space="preserve">6</w:t>
      </w:r>
      <w:r>
        <w:rPr>
          <w:sz w:val="28"/>
          <w:szCs w:val="28"/>
          <w:lang w:val="uk-UA"/>
        </w:rPr>
        <w:t xml:space="preserve">% від загальної суми видатків).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pBdr/>
        <w:spacing w:after="0"/>
        <w:ind w:right="-57" w:firstLine="567" w:left="567"/>
        <w:rPr>
          <w:rStyle w:val="901"/>
          <w:lang w:val="uk-UA"/>
        </w:rPr>
      </w:pPr>
      <w:r>
        <w:rPr>
          <w:rStyle w:val="901"/>
          <w:lang w:val="uk-UA"/>
        </w:rPr>
        <w:t xml:space="preserve">За напрямками фінансування кошти розподілені наступним чином: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державне </w:t>
      </w:r>
      <w:r>
        <w:rPr>
          <w:rStyle w:val="901"/>
          <w:lang w:val="uk-UA"/>
        </w:rPr>
        <w:t xml:space="preserve">управління – 21 662,3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дошкі</w:t>
      </w:r>
      <w:r>
        <w:rPr>
          <w:rStyle w:val="901"/>
          <w:lang w:val="uk-UA"/>
        </w:rPr>
        <w:t xml:space="preserve">льні навчальні заклади – </w:t>
      </w:r>
      <w:r>
        <w:rPr>
          <w:rStyle w:val="901"/>
          <w:lang w:val="uk-UA"/>
        </w:rPr>
        <w:t xml:space="preserve">16 647,3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з</w:t>
      </w:r>
      <w:r>
        <w:rPr>
          <w:rStyle w:val="901"/>
          <w:lang w:val="uk-UA"/>
        </w:rPr>
        <w:t xml:space="preserve">а</w:t>
      </w:r>
      <w:r>
        <w:rPr>
          <w:rStyle w:val="901"/>
          <w:lang w:val="uk-UA"/>
        </w:rPr>
        <w:t xml:space="preserve">гальноосвітні заклади – </w:t>
      </w:r>
      <w:r>
        <w:rPr>
          <w:rStyle w:val="901"/>
          <w:lang w:val="uk-UA"/>
        </w:rPr>
        <w:t xml:space="preserve">70 798,3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позашкільна освіта – 2 701,8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мистецька шк</w:t>
      </w:r>
      <w:r>
        <w:rPr>
          <w:rStyle w:val="901"/>
          <w:lang w:val="uk-UA"/>
        </w:rPr>
        <w:t xml:space="preserve">ола – 3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499,3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інші заклади освіти (МНВК, Центр з обслуговування освітніх установ)–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6391,5</w:t>
      </w:r>
      <w:r>
        <w:rPr>
          <w:rStyle w:val="901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центр професійного р</w:t>
      </w:r>
      <w:r>
        <w:rPr>
          <w:rStyle w:val="901"/>
          <w:lang w:val="uk-UA"/>
        </w:rPr>
        <w:t xml:space="preserve">озвитку педпрацівників – 592,7 </w:t>
      </w:r>
      <w:r>
        <w:rPr>
          <w:rStyle w:val="901"/>
          <w:lang w:val="uk-UA"/>
        </w:rPr>
        <w:t xml:space="preserve">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ІРЦ – </w:t>
      </w:r>
      <w:r>
        <w:rPr>
          <w:rStyle w:val="901"/>
          <w:lang w:val="uk-UA"/>
        </w:rPr>
        <w:t xml:space="preserve">904,3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надання підтримки особам з особл</w:t>
      </w:r>
      <w:r>
        <w:rPr>
          <w:rStyle w:val="901"/>
          <w:lang w:val="uk-UA"/>
        </w:rPr>
        <w:t xml:space="preserve">ивими освітніми потребами – 168,0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тис.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і</w:t>
      </w:r>
      <w:r>
        <w:rPr>
          <w:rStyle w:val="901"/>
          <w:lang w:val="uk-UA"/>
        </w:rPr>
        <w:t xml:space="preserve">нші програми по освіті – 182,6</w:t>
      </w:r>
      <w:r>
        <w:rPr>
          <w:rStyle w:val="901"/>
          <w:lang w:val="uk-UA"/>
        </w:rPr>
        <w:t xml:space="preserve"> тис.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грн</w:t>
      </w:r>
      <w:r>
        <w:rPr>
          <w:rStyle w:val="901"/>
          <w:lang w:val="uk-UA"/>
        </w:rPr>
        <w:t xml:space="preserve">,</w:t>
      </w:r>
      <w:r>
        <w:rPr>
          <w:rStyle w:val="901"/>
          <w:lang w:val="uk-UA"/>
        </w:rPr>
      </w:r>
      <w:r>
        <w:rPr>
          <w:rStyle w:val="901"/>
          <w:lang w:val="uk-UA"/>
        </w:rPr>
      </w:r>
    </w:p>
    <w:p>
      <w:pPr>
        <w:pStyle w:val="888"/>
        <w:pBdr/>
        <w:spacing w:after="0"/>
        <w:ind w:right="-57" w:left="567"/>
        <w:rPr>
          <w:color w:val="000000"/>
          <w:sz w:val="28"/>
          <w:szCs w:val="28"/>
          <w:lang w:val="uk-UA"/>
        </w:rPr>
      </w:pPr>
      <w:r>
        <w:rPr>
          <w:rStyle w:val="901"/>
          <w:lang w:val="uk-UA"/>
        </w:rPr>
        <w:t xml:space="preserve">- охорона здоров’я – </w:t>
      </w:r>
      <w:r>
        <w:rPr>
          <w:rStyle w:val="901"/>
          <w:lang w:val="uk-UA"/>
        </w:rPr>
        <w:t xml:space="preserve">4680,0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територіальний центр соц</w:t>
      </w:r>
      <w:r>
        <w:rPr>
          <w:rStyle w:val="901"/>
          <w:lang w:val="uk-UA"/>
        </w:rPr>
        <w:t xml:space="preserve">і</w:t>
      </w:r>
      <w:r>
        <w:rPr>
          <w:rStyle w:val="901"/>
          <w:lang w:val="uk-UA"/>
        </w:rPr>
        <w:t xml:space="preserve">ального обслуговування – </w:t>
      </w:r>
      <w:r>
        <w:rPr>
          <w:rStyle w:val="901"/>
          <w:lang w:val="uk-UA"/>
        </w:rPr>
        <w:t xml:space="preserve">6943,7</w:t>
      </w:r>
      <w:r>
        <w:rPr>
          <w:rStyle w:val="901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центр соціальних служб для</w:t>
      </w:r>
      <w:r>
        <w:rPr>
          <w:rStyle w:val="901"/>
          <w:lang w:val="uk-UA"/>
        </w:rPr>
        <w:t xml:space="preserve"> сім’ї, дітей та молоді – 1458,7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виплати фізичним особам, які надають соціальні послуги громадянам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похилого віку – 645,3</w:t>
      </w:r>
      <w:r>
        <w:rPr>
          <w:rStyle w:val="901"/>
          <w:lang w:val="uk-UA"/>
        </w:rPr>
        <w:t xml:space="preserve"> тис.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інші заходи у сфері соціального захисту і соціального забезпечення –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2513,7</w:t>
      </w:r>
      <w:r>
        <w:rPr>
          <w:rStyle w:val="901"/>
          <w:lang w:val="uk-UA"/>
        </w:rPr>
        <w:t xml:space="preserve"> тис.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публічна бібліотека – 2 543,6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краєзнавчий музей –</w:t>
      </w:r>
      <w:r>
        <w:rPr>
          <w:rStyle w:val="901"/>
          <w:lang w:val="uk-UA"/>
        </w:rPr>
        <w:t xml:space="preserve"> 258,9</w:t>
      </w:r>
      <w:r>
        <w:rPr>
          <w:rStyle w:val="901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будинки культури – 6046,3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інші заклад</w:t>
      </w:r>
      <w:r>
        <w:rPr>
          <w:rStyle w:val="901"/>
          <w:lang w:val="uk-UA"/>
        </w:rPr>
        <w:t xml:space="preserve">и культури (бухгалтерія) – 559,6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інші заходи в га</w:t>
      </w:r>
      <w:r>
        <w:rPr>
          <w:rStyle w:val="901"/>
          <w:lang w:val="uk-UA"/>
        </w:rPr>
        <w:t xml:space="preserve">лузі культури і мистецтва</w:t>
      </w:r>
      <w:r>
        <w:rPr>
          <w:rStyle w:val="901"/>
          <w:lang w:val="uk-UA"/>
        </w:rPr>
        <w:t xml:space="preserve"> – 57,2</w:t>
      </w:r>
      <w:r>
        <w:rPr>
          <w:rStyle w:val="901"/>
          <w:lang w:val="uk-UA"/>
        </w:rPr>
        <w:t xml:space="preserve"> тис.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проведення навчально-тренувальних зборів і змагань з олімпійських видів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спорту – 27,9</w:t>
      </w:r>
      <w:r>
        <w:rPr>
          <w:rStyle w:val="901"/>
          <w:lang w:val="uk-UA"/>
        </w:rPr>
        <w:t xml:space="preserve"> тис.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проведення навчально-тренувальних зборів і змагань з неолімпійських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видів спорту – 27,8</w:t>
      </w:r>
      <w:r>
        <w:rPr>
          <w:rStyle w:val="901"/>
          <w:lang w:val="uk-UA"/>
        </w:rPr>
        <w:t xml:space="preserve"> тис.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навчально-тре</w:t>
      </w:r>
      <w:r>
        <w:rPr>
          <w:rStyle w:val="901"/>
          <w:lang w:val="uk-UA"/>
        </w:rPr>
        <w:t xml:space="preserve">нувальна робота (ДЮСШ</w:t>
      </w:r>
      <w:r>
        <w:rPr>
          <w:rStyle w:val="901"/>
          <w:lang w:val="uk-UA"/>
        </w:rPr>
        <w:t xml:space="preserve">) – 1 274,5</w:t>
      </w:r>
      <w:r>
        <w:rPr>
          <w:rStyle w:val="901"/>
          <w:lang w:val="uk-UA"/>
        </w:rPr>
        <w:t xml:space="preserve"> тис. грн</w:t>
      </w:r>
      <w:r>
        <w:rPr>
          <w:rStyle w:val="901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житлово-</w:t>
      </w:r>
      <w:r>
        <w:rPr>
          <w:rStyle w:val="901"/>
          <w:lang w:val="uk-UA"/>
        </w:rPr>
        <w:t xml:space="preserve">к</w:t>
      </w:r>
      <w:r>
        <w:rPr>
          <w:rStyle w:val="901"/>
          <w:lang w:val="uk-UA"/>
        </w:rPr>
        <w:t xml:space="preserve">омунальне господарство – 5 616,4</w:t>
      </w:r>
      <w:r>
        <w:rPr>
          <w:rStyle w:val="901"/>
          <w:lang w:val="uk-UA"/>
        </w:rPr>
        <w:t xml:space="preserve"> тис.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грн.,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 економічна діяльність – 578,8</w:t>
      </w:r>
      <w:r>
        <w:rPr>
          <w:rStyle w:val="901"/>
          <w:lang w:val="uk-UA"/>
        </w:rPr>
        <w:t xml:space="preserve"> тис.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грн</w:t>
      </w:r>
      <w:r>
        <w:rPr>
          <w:rStyle w:val="901"/>
          <w:lang w:val="uk-UA"/>
        </w:rPr>
        <w:t xml:space="preserve">,</w:t>
      </w:r>
      <w:r>
        <w:rPr>
          <w:lang w:val="uk-UA"/>
        </w:rPr>
        <w:br w:type="textWrapping" w:clear="all"/>
      </w:r>
      <w:r>
        <w:rPr>
          <w:rStyle w:val="901"/>
          <w:lang w:val="uk-UA"/>
        </w:rPr>
        <w:t xml:space="preserve">- інша діяльність – 3 848,7</w:t>
      </w:r>
      <w:r>
        <w:rPr>
          <w:rStyle w:val="901"/>
          <w:lang w:val="uk-UA"/>
        </w:rPr>
        <w:t xml:space="preserve"> тис.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грн</w:t>
      </w:r>
      <w:r>
        <w:rPr>
          <w:rStyle w:val="901"/>
          <w:lang w:val="uk-UA"/>
        </w:rPr>
        <w:t xml:space="preserve"> (в т.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ч. мі</w:t>
      </w:r>
      <w:r>
        <w:rPr>
          <w:rStyle w:val="901"/>
          <w:lang w:val="uk-UA"/>
        </w:rPr>
        <w:t xml:space="preserve">сцева пожежна охорона – 1953,2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тис.</w:t>
      </w:r>
      <w:r>
        <w:rPr>
          <w:rStyle w:val="901"/>
          <w:lang w:val="uk-UA"/>
        </w:rPr>
        <w:t xml:space="preserve"> грн</w:t>
      </w:r>
      <w:r>
        <w:rPr>
          <w:rStyle w:val="901"/>
          <w:lang w:val="uk-UA"/>
        </w:rPr>
        <w:t xml:space="preserve">),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901"/>
          <w:lang w:val="uk-UA"/>
        </w:rPr>
        <w:t xml:space="preserve">-</w:t>
      </w:r>
      <w:r>
        <w:rPr>
          <w:rStyle w:val="901"/>
          <w:lang w:val="uk-UA"/>
        </w:rPr>
        <w:t xml:space="preserve"> міжбюджетні трансферти – 3 318,8</w:t>
      </w:r>
      <w:r>
        <w:rPr>
          <w:rStyle w:val="901"/>
          <w:lang w:val="uk-UA"/>
        </w:rPr>
        <w:t xml:space="preserve"> тис.</w:t>
      </w:r>
      <w:r>
        <w:rPr>
          <w:rStyle w:val="901"/>
          <w:lang w:val="uk-UA"/>
        </w:rPr>
        <w:t xml:space="preserve"> </w:t>
      </w:r>
      <w:r>
        <w:rPr>
          <w:rStyle w:val="901"/>
          <w:lang w:val="uk-UA"/>
        </w:rPr>
        <w:t xml:space="preserve">грн.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88"/>
        <w:pBdr/>
        <w:tabs>
          <w:tab w:val="left" w:leader="none" w:pos="567"/>
        </w:tabs>
        <w:spacing w:after="0"/>
        <w:ind w:right="-5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Підсумки виконання дохідної частини спеціа</w:t>
      </w:r>
      <w:r>
        <w:rPr>
          <w:sz w:val="28"/>
          <w:szCs w:val="28"/>
          <w:lang w:val="uk-UA"/>
        </w:rPr>
        <w:t xml:space="preserve">льного фонду бюджету Менської ТГ за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 півріччя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202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 р</w:t>
      </w:r>
      <w:r>
        <w:rPr>
          <w:sz w:val="28"/>
          <w:szCs w:val="28"/>
          <w:lang w:val="uk-UA"/>
        </w:rPr>
        <w:t xml:space="preserve">оку</w:t>
      </w:r>
      <w:r>
        <w:rPr>
          <w:sz w:val="28"/>
          <w:szCs w:val="28"/>
          <w:lang w:val="uk-UA"/>
        </w:rPr>
        <w:t xml:space="preserve"> (без урахування трансфертів) свідчать про те, що </w:t>
      </w:r>
      <w:r>
        <w:rPr>
          <w:sz w:val="28"/>
          <w:szCs w:val="28"/>
          <w:lang w:val="uk-UA"/>
        </w:rPr>
        <w:t xml:space="preserve">надходження виконано в сумі </w:t>
      </w:r>
      <w:r>
        <w:rPr>
          <w:sz w:val="28"/>
          <w:szCs w:val="28"/>
          <w:lang w:val="uk-UA"/>
        </w:rPr>
        <w:t xml:space="preserve">12 242,5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Надходже</w:t>
      </w:r>
      <w:r>
        <w:rPr>
          <w:sz w:val="28"/>
          <w:szCs w:val="28"/>
          <w:lang w:val="uk-UA"/>
        </w:rPr>
        <w:t xml:space="preserve">ння субвенці</w:t>
      </w:r>
      <w:r>
        <w:rPr>
          <w:sz w:val="28"/>
          <w:szCs w:val="28"/>
          <w:lang w:val="uk-UA"/>
        </w:rPr>
        <w:t xml:space="preserve">й складають – 334,3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</w:t>
      </w:r>
      <w:r>
        <w:rPr>
          <w:sz w:val="28"/>
          <w:szCs w:val="28"/>
          <w:lang w:val="uk-UA"/>
        </w:rPr>
        <w:t xml:space="preserve">субвенція на покращення гаря</w:t>
      </w:r>
      <w:r>
        <w:rPr>
          <w:sz w:val="28"/>
          <w:szCs w:val="28"/>
          <w:lang w:val="uk-UA"/>
        </w:rPr>
        <w:t xml:space="preserve">чого харчування (41037400)).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Видаткова частина спеціального фонду бюджету виконана в сумі </w:t>
      </w:r>
      <w:r>
        <w:rPr>
          <w:sz w:val="28"/>
          <w:szCs w:val="28"/>
          <w:lang w:val="uk-UA"/>
        </w:rPr>
        <w:t xml:space="preserve">21 614,2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8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захищені статті в</w:t>
      </w:r>
      <w:r>
        <w:rPr>
          <w:sz w:val="28"/>
          <w:szCs w:val="28"/>
          <w:lang w:val="uk-UA"/>
        </w:rPr>
        <w:t xml:space="preserve">идатків </w:t>
      </w:r>
      <w:r>
        <w:rPr>
          <w:sz w:val="28"/>
          <w:szCs w:val="28"/>
          <w:lang w:val="uk-UA"/>
        </w:rPr>
        <w:t xml:space="preserve">спрямовано </w:t>
      </w:r>
      <w:r>
        <w:rPr>
          <w:sz w:val="28"/>
          <w:szCs w:val="28"/>
          <w:lang w:val="uk-UA"/>
        </w:rPr>
        <w:t xml:space="preserve">2 881,0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  <w:t xml:space="preserve">, а саме на: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оплату пр</w:t>
      </w:r>
      <w:r>
        <w:rPr>
          <w:sz w:val="28"/>
          <w:szCs w:val="28"/>
          <w:lang w:val="uk-UA"/>
        </w:rPr>
        <w:t xml:space="preserve">аці та нарахування на неї – </w:t>
      </w:r>
      <w:r>
        <w:rPr>
          <w:sz w:val="28"/>
          <w:szCs w:val="28"/>
          <w:lang w:val="uk-UA"/>
        </w:rPr>
        <w:t xml:space="preserve">312,7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придбання медикаментів – </w:t>
      </w:r>
      <w:r>
        <w:rPr>
          <w:sz w:val="28"/>
          <w:szCs w:val="28"/>
          <w:lang w:val="uk-UA"/>
        </w:rPr>
        <w:t xml:space="preserve">179,1</w:t>
      </w:r>
      <w:r>
        <w:rPr>
          <w:sz w:val="28"/>
          <w:szCs w:val="28"/>
          <w:lang w:val="uk-UA"/>
        </w:rPr>
        <w:t xml:space="preserve">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придба</w:t>
      </w:r>
      <w:r>
        <w:rPr>
          <w:sz w:val="28"/>
          <w:szCs w:val="28"/>
          <w:lang w:val="uk-UA"/>
        </w:rPr>
        <w:t xml:space="preserve">ння продуктів харчування – </w:t>
      </w:r>
      <w:r>
        <w:rPr>
          <w:sz w:val="28"/>
          <w:szCs w:val="28"/>
          <w:lang w:val="uk-UA"/>
        </w:rPr>
        <w:t xml:space="preserve">2 354,3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спожиті енер</w:t>
      </w:r>
      <w:r>
        <w:rPr>
          <w:sz w:val="28"/>
          <w:szCs w:val="28"/>
          <w:lang w:val="uk-UA"/>
        </w:rPr>
        <w:t xml:space="preserve">гоносії – </w:t>
      </w:r>
      <w:r>
        <w:rPr>
          <w:sz w:val="28"/>
          <w:szCs w:val="28"/>
          <w:lang w:val="uk-UA"/>
        </w:rPr>
        <w:t xml:space="preserve">34,9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звітного періоду </w:t>
      </w:r>
      <w:r>
        <w:rPr>
          <w:sz w:val="28"/>
          <w:szCs w:val="28"/>
          <w:lang w:val="uk-UA"/>
        </w:rPr>
        <w:t xml:space="preserve">уточнено</w:t>
      </w:r>
      <w:r>
        <w:rPr>
          <w:sz w:val="28"/>
          <w:szCs w:val="28"/>
          <w:lang w:val="uk-UA"/>
        </w:rPr>
        <w:t xml:space="preserve"> залишок коштів</w:t>
      </w:r>
      <w:r>
        <w:rPr>
          <w:sz w:val="28"/>
          <w:szCs w:val="28"/>
          <w:lang w:val="uk-UA"/>
        </w:rPr>
        <w:t xml:space="preserve">, що був на рахунка</w:t>
      </w:r>
      <w:r>
        <w:rPr>
          <w:sz w:val="28"/>
          <w:szCs w:val="28"/>
          <w:lang w:val="uk-UA"/>
        </w:rPr>
        <w:t xml:space="preserve">х </w:t>
      </w:r>
      <w:r>
        <w:rPr>
          <w:sz w:val="28"/>
          <w:szCs w:val="28"/>
          <w:lang w:val="uk-UA"/>
        </w:rPr>
        <w:t xml:space="preserve">загального фонду в сумі 5 382,7</w:t>
      </w:r>
      <w:r>
        <w:rPr>
          <w:sz w:val="28"/>
          <w:szCs w:val="28"/>
          <w:lang w:val="uk-UA"/>
        </w:rPr>
        <w:t xml:space="preserve">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</w:t>
      </w:r>
      <w:r>
        <w:rPr>
          <w:sz w:val="28"/>
          <w:szCs w:val="28"/>
          <w:lang w:val="uk-UA"/>
        </w:rPr>
        <w:t xml:space="preserve"> (власні надходження)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</w:t>
      </w:r>
      <w:r>
        <w:rPr>
          <w:sz w:val="28"/>
          <w:szCs w:val="28"/>
          <w:lang w:val="uk-UA"/>
        </w:rPr>
        <w:t xml:space="preserve">вітного періоду уточнено залишки</w:t>
      </w:r>
      <w:r>
        <w:rPr>
          <w:sz w:val="28"/>
          <w:szCs w:val="28"/>
          <w:lang w:val="uk-UA"/>
        </w:rPr>
        <w:t xml:space="preserve"> коштів</w:t>
      </w:r>
      <w:r>
        <w:rPr>
          <w:sz w:val="28"/>
          <w:szCs w:val="28"/>
          <w:lang w:val="uk-UA"/>
        </w:rPr>
        <w:t xml:space="preserve"> субвенцій, що були</w:t>
      </w:r>
      <w:r>
        <w:rPr>
          <w:sz w:val="28"/>
          <w:szCs w:val="28"/>
          <w:lang w:val="uk-UA"/>
        </w:rPr>
        <w:t xml:space="preserve"> на рахунках спеціального фонду</w:t>
      </w:r>
      <w:r>
        <w:rPr>
          <w:sz w:val="28"/>
          <w:szCs w:val="28"/>
          <w:lang w:val="uk-UA"/>
        </w:rPr>
        <w:t xml:space="preserve"> в сумі 9411,0 тис. грн</w:t>
      </w:r>
      <w:r>
        <w:rPr>
          <w:sz w:val="28"/>
          <w:szCs w:val="28"/>
          <w:lang w:val="uk-UA"/>
        </w:rPr>
        <w:t xml:space="preserve">, а саме: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субвенція на покращення гарячого харчування (41037400) – 331,7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субвенція за рахунок залишку освітньої субвенції (Захист України) (41051100) – 821,4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субвенція на відновлення (41059200) – 6363,4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субвенція на харчування (41033300) – 1894,5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звітного періоду уточнено та розподілено перевиконання коштів загального фонду в сумі 24 889,5 тис. грн.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Кошти резервного</w:t>
      </w:r>
      <w:r>
        <w:rPr>
          <w:sz w:val="28"/>
          <w:szCs w:val="28"/>
          <w:lang w:val="uk-UA"/>
        </w:rPr>
        <w:t xml:space="preserve"> фонду протягом </w:t>
      </w:r>
      <w:r>
        <w:rPr>
          <w:sz w:val="28"/>
          <w:szCs w:val="28"/>
          <w:lang w:val="uk-UA"/>
        </w:rPr>
        <w:t xml:space="preserve">звітного періоду</w:t>
      </w:r>
      <w:r>
        <w:rPr>
          <w:sz w:val="28"/>
          <w:szCs w:val="28"/>
          <w:lang w:val="uk-UA"/>
        </w:rPr>
        <w:t xml:space="preserve"> не використовувались.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81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ачальник</w:t>
      </w:r>
      <w:r>
        <w:rPr>
          <w:sz w:val="28"/>
          <w:szCs w:val="28"/>
          <w:lang w:val="uk-UA"/>
        </w:rPr>
        <w:t xml:space="preserve"> Фінансового управління                                                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0"/>
        <w:pBdr/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                                                   </w:t>
      </w:r>
      <w:r>
        <w:rPr>
          <w:sz w:val="28"/>
          <w:szCs w:val="28"/>
          <w:lang w:val="uk-UA"/>
        </w:rPr>
        <w:t xml:space="preserve">Алла НЕРОСЛИК</w:t>
      </w:r>
      <w:r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headerReference w:type="default" r:id="rId9"/>
      <w:footnotePr/>
      <w:endnotePr/>
      <w:type w:val="nextPage"/>
      <w:pgSz w:h="16838" w:orient="portrait" w:w="11906"/>
      <w:pgMar w:top="851" w:right="567" w:bottom="1134" w:left="1701" w:header="709" w:footer="709" w:gutter="0"/>
      <w:pgNumType w:start="1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ntiqua">
    <w:panose1 w:val="02070409020205020404"/>
  </w:font>
  <w:font w:name="Tahoma">
    <w:panose1 w:val="020B060403050404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pBdr/>
      <w:tabs>
        <w:tab w:val="center" w:leader="none" w:pos="4819"/>
        <w:tab w:val="left" w:leader="none" w:pos="6660"/>
      </w:tabs>
      <w:spacing/>
      <w:ind/>
      <w:rPr>
        <w:lang w:val="uk-UA"/>
      </w:rPr>
    </w:pPr>
    <w:r>
      <w:tab/>
      <w:tab/>
    </w: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>
      <w:tab/>
    </w:r>
    <w:r>
      <w:rPr>
        <w:sz w:val="24"/>
        <w:szCs w:val="24"/>
        <w:lang w:val="uk-UA"/>
      </w:rPr>
      <w:t xml:space="preserve">продовження додатка</w:t>
    </w:r>
    <w:r>
      <w:rPr>
        <w:lang w:val="uk-UA"/>
      </w:rPr>
    </w:r>
    <w:r>
      <w:rPr>
        <w:lang w:val="uk-UA"/>
      </w:rPr>
    </w:r>
  </w:p>
  <w:p>
    <w:pPr>
      <w:pStyle w:val="895"/>
      <w:pBdr/>
      <w:spacing/>
      <w:ind/>
      <w:rPr>
        <w:lang w:val="uk-UA"/>
      </w:rPr>
    </w:pPr>
    <w:r>
      <w:rPr>
        <w:lang w:val="uk-UA"/>
      </w:rPr>
    </w:r>
    <w:r>
      <w:rPr>
        <w:lang w:val="uk-UA"/>
      </w:rPr>
    </w:r>
    <w:r>
      <w:rPr>
        <w:lang w:val="uk-UA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86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82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02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22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42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462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82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02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22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50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86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82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02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22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42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462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82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02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22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502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Table Grid"/>
    <w:basedOn w:val="70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Table Grid Light"/>
    <w:basedOn w:val="70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1"/>
    <w:basedOn w:val="70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2"/>
    <w:basedOn w:val="70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"/>
    <w:basedOn w:val="7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1"/>
    <w:basedOn w:val="7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2"/>
    <w:basedOn w:val="7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3"/>
    <w:basedOn w:val="7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4"/>
    <w:basedOn w:val="7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5"/>
    <w:basedOn w:val="7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6"/>
    <w:basedOn w:val="7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1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2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3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4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5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6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1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2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3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4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5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6"/>
    <w:basedOn w:val="7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1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2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3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4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5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6"/>
    <w:basedOn w:val="7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9">
    <w:name w:val="Heading 1"/>
    <w:basedOn w:val="881"/>
    <w:next w:val="881"/>
    <w:link w:val="84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30">
    <w:name w:val="Heading 2"/>
    <w:basedOn w:val="881"/>
    <w:next w:val="881"/>
    <w:link w:val="84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1">
    <w:name w:val="Heading 3"/>
    <w:basedOn w:val="881"/>
    <w:next w:val="881"/>
    <w:link w:val="84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2">
    <w:name w:val="Heading 4"/>
    <w:basedOn w:val="881"/>
    <w:next w:val="881"/>
    <w:link w:val="84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3">
    <w:name w:val="Heading 5"/>
    <w:basedOn w:val="881"/>
    <w:next w:val="881"/>
    <w:link w:val="84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4">
    <w:name w:val="Heading 6"/>
    <w:basedOn w:val="881"/>
    <w:next w:val="881"/>
    <w:link w:val="84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5">
    <w:name w:val="Heading 7"/>
    <w:basedOn w:val="881"/>
    <w:next w:val="881"/>
    <w:link w:val="84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6">
    <w:name w:val="Heading 8"/>
    <w:basedOn w:val="881"/>
    <w:next w:val="881"/>
    <w:link w:val="84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7">
    <w:name w:val="Heading 9"/>
    <w:basedOn w:val="881"/>
    <w:next w:val="881"/>
    <w:link w:val="84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8" w:default="1">
    <w:name w:val="Default Paragraph Font"/>
    <w:uiPriority w:val="1"/>
    <w:semiHidden/>
    <w:unhideWhenUsed/>
    <w:pPr>
      <w:pBdr/>
      <w:spacing/>
      <w:ind/>
    </w:pPr>
  </w:style>
  <w:style w:type="numbering" w:styleId="839" w:default="1">
    <w:name w:val="No List"/>
    <w:uiPriority w:val="99"/>
    <w:semiHidden/>
    <w:unhideWhenUsed/>
    <w:pPr>
      <w:pBdr/>
      <w:spacing/>
      <w:ind/>
    </w:pPr>
  </w:style>
  <w:style w:type="character" w:styleId="840">
    <w:name w:val="Heading 1 Char"/>
    <w:basedOn w:val="838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1">
    <w:name w:val="Heading 2 Char"/>
    <w:basedOn w:val="838"/>
    <w:link w:val="8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2">
    <w:name w:val="Heading 3 Char"/>
    <w:basedOn w:val="838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3">
    <w:name w:val="Heading 4 Char"/>
    <w:basedOn w:val="838"/>
    <w:link w:val="83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4">
    <w:name w:val="Heading 5 Char"/>
    <w:basedOn w:val="838"/>
    <w:link w:val="8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5">
    <w:name w:val="Heading 6 Char"/>
    <w:basedOn w:val="838"/>
    <w:link w:val="83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6">
    <w:name w:val="Heading 7 Char"/>
    <w:basedOn w:val="838"/>
    <w:link w:val="83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7">
    <w:name w:val="Heading 8 Char"/>
    <w:basedOn w:val="838"/>
    <w:link w:val="8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8">
    <w:name w:val="Heading 9 Char"/>
    <w:basedOn w:val="838"/>
    <w:link w:val="8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9">
    <w:name w:val="Title"/>
    <w:basedOn w:val="881"/>
    <w:next w:val="881"/>
    <w:link w:val="85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0">
    <w:name w:val="Title Char"/>
    <w:basedOn w:val="838"/>
    <w:link w:val="84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1">
    <w:name w:val="Subtitle"/>
    <w:basedOn w:val="881"/>
    <w:next w:val="881"/>
    <w:link w:val="85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2">
    <w:name w:val="Subtitle Char"/>
    <w:basedOn w:val="838"/>
    <w:link w:val="85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3">
    <w:name w:val="Quote"/>
    <w:basedOn w:val="881"/>
    <w:next w:val="881"/>
    <w:link w:val="85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4">
    <w:name w:val="Quote Char"/>
    <w:basedOn w:val="838"/>
    <w:link w:val="85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5">
    <w:name w:val="List Paragraph"/>
    <w:basedOn w:val="881"/>
    <w:uiPriority w:val="34"/>
    <w:qFormat/>
    <w:pPr>
      <w:pBdr/>
      <w:spacing/>
      <w:ind w:left="720"/>
      <w:contextualSpacing w:val="true"/>
    </w:pPr>
  </w:style>
  <w:style w:type="character" w:styleId="856">
    <w:name w:val="Intense Emphasis"/>
    <w:basedOn w:val="83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7">
    <w:name w:val="Intense Quote"/>
    <w:basedOn w:val="881"/>
    <w:next w:val="881"/>
    <w:link w:val="85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8">
    <w:name w:val="Intense Quote Char"/>
    <w:basedOn w:val="838"/>
    <w:link w:val="85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9">
    <w:name w:val="Intense Reference"/>
    <w:basedOn w:val="83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60">
    <w:name w:val="No Spacing"/>
    <w:basedOn w:val="881"/>
    <w:uiPriority w:val="1"/>
    <w:qFormat/>
    <w:pPr>
      <w:pBdr/>
      <w:spacing w:after="0" w:line="240" w:lineRule="auto"/>
      <w:ind/>
    </w:pPr>
  </w:style>
  <w:style w:type="character" w:styleId="861">
    <w:name w:val="Subtle Emphasis"/>
    <w:basedOn w:val="83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2">
    <w:name w:val="Emphasis"/>
    <w:basedOn w:val="838"/>
    <w:uiPriority w:val="20"/>
    <w:qFormat/>
    <w:pPr>
      <w:pBdr/>
      <w:spacing/>
      <w:ind/>
    </w:pPr>
    <w:rPr>
      <w:i/>
      <w:iCs/>
    </w:rPr>
  </w:style>
  <w:style w:type="character" w:styleId="863">
    <w:name w:val="Strong"/>
    <w:basedOn w:val="838"/>
    <w:uiPriority w:val="22"/>
    <w:qFormat/>
    <w:pPr>
      <w:pBdr/>
      <w:spacing/>
      <w:ind/>
    </w:pPr>
    <w:rPr>
      <w:b/>
      <w:bCs/>
    </w:rPr>
  </w:style>
  <w:style w:type="character" w:styleId="864">
    <w:name w:val="Subtle Reference"/>
    <w:basedOn w:val="83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5">
    <w:name w:val="Book Title"/>
    <w:basedOn w:val="83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6">
    <w:name w:val="Header"/>
    <w:basedOn w:val="881"/>
    <w:link w:val="86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7">
    <w:name w:val="Header Char"/>
    <w:basedOn w:val="838"/>
    <w:link w:val="866"/>
    <w:uiPriority w:val="99"/>
    <w:pPr>
      <w:pBdr/>
      <w:spacing/>
      <w:ind/>
    </w:pPr>
  </w:style>
  <w:style w:type="paragraph" w:styleId="868">
    <w:name w:val="Footer"/>
    <w:basedOn w:val="881"/>
    <w:link w:val="86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9">
    <w:name w:val="Footer Char"/>
    <w:basedOn w:val="838"/>
    <w:link w:val="868"/>
    <w:uiPriority w:val="99"/>
    <w:pPr>
      <w:pBdr/>
      <w:spacing/>
      <w:ind/>
    </w:pPr>
  </w:style>
  <w:style w:type="paragraph" w:styleId="870">
    <w:name w:val="Caption"/>
    <w:basedOn w:val="881"/>
    <w:next w:val="88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1">
    <w:name w:val="footnote text"/>
    <w:basedOn w:val="881"/>
    <w:link w:val="87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2">
    <w:name w:val="Footnote Text Char"/>
    <w:basedOn w:val="838"/>
    <w:link w:val="871"/>
    <w:uiPriority w:val="99"/>
    <w:semiHidden/>
    <w:pPr>
      <w:pBdr/>
      <w:spacing/>
      <w:ind/>
    </w:pPr>
    <w:rPr>
      <w:sz w:val="20"/>
      <w:szCs w:val="20"/>
    </w:rPr>
  </w:style>
  <w:style w:type="character" w:styleId="873">
    <w:name w:val="footnote reference"/>
    <w:basedOn w:val="838"/>
    <w:uiPriority w:val="99"/>
    <w:semiHidden/>
    <w:unhideWhenUsed/>
    <w:pPr>
      <w:pBdr/>
      <w:spacing/>
      <w:ind/>
    </w:pPr>
    <w:rPr>
      <w:vertAlign w:val="superscript"/>
    </w:rPr>
  </w:style>
  <w:style w:type="paragraph" w:styleId="874">
    <w:name w:val="endnote text"/>
    <w:basedOn w:val="881"/>
    <w:link w:val="8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5">
    <w:name w:val="Endnote Text Char"/>
    <w:basedOn w:val="838"/>
    <w:link w:val="874"/>
    <w:uiPriority w:val="99"/>
    <w:semiHidden/>
    <w:pPr>
      <w:pBdr/>
      <w:spacing/>
      <w:ind/>
    </w:pPr>
    <w:rPr>
      <w:sz w:val="20"/>
      <w:szCs w:val="20"/>
    </w:rPr>
  </w:style>
  <w:style w:type="character" w:styleId="876">
    <w:name w:val="endnote reference"/>
    <w:basedOn w:val="838"/>
    <w:uiPriority w:val="99"/>
    <w:semiHidden/>
    <w:unhideWhenUsed/>
    <w:pPr>
      <w:pBdr/>
      <w:spacing/>
      <w:ind/>
    </w:pPr>
    <w:rPr>
      <w:vertAlign w:val="superscript"/>
    </w:rPr>
  </w:style>
  <w:style w:type="character" w:styleId="877">
    <w:name w:val="Hyperlink"/>
    <w:basedOn w:val="83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8">
    <w:name w:val="FollowedHyperlink"/>
    <w:basedOn w:val="83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9">
    <w:name w:val="TOC Heading"/>
    <w:uiPriority w:val="39"/>
    <w:unhideWhenUsed/>
    <w:pPr>
      <w:pBdr/>
      <w:spacing/>
      <w:ind/>
    </w:pPr>
  </w:style>
  <w:style w:type="paragraph" w:styleId="880">
    <w:name w:val="table of figures"/>
    <w:basedOn w:val="881"/>
    <w:next w:val="881"/>
    <w:uiPriority w:val="99"/>
    <w:unhideWhenUsed/>
    <w:pPr>
      <w:pBdr/>
      <w:spacing w:after="0" w:afterAutospacing="0"/>
      <w:ind/>
    </w:pPr>
  </w:style>
  <w:style w:type="paragraph" w:styleId="881" w:default="1">
    <w:name w:val="Normal"/>
    <w:next w:val="881"/>
    <w:link w:val="881"/>
    <w:qFormat/>
    <w:pPr>
      <w:pBdr/>
      <w:spacing/>
      <w:ind/>
    </w:pPr>
    <w:rPr>
      <w:lang w:val="ru-RU" w:eastAsia="ru-RU" w:bidi="ar-SA"/>
    </w:rPr>
  </w:style>
  <w:style w:type="character" w:styleId="882">
    <w:name w:val="Основной шрифт абзаца"/>
    <w:next w:val="882"/>
    <w:link w:val="881"/>
    <w:semiHidden/>
    <w:pPr>
      <w:pBdr/>
      <w:spacing/>
      <w:ind/>
    </w:pPr>
  </w:style>
  <w:style w:type="table" w:styleId="883">
    <w:name w:val="Обычная таблица"/>
    <w:next w:val="883"/>
    <w:link w:val="881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4">
    <w:name w:val="Нет списка"/>
    <w:next w:val="884"/>
    <w:link w:val="881"/>
    <w:semiHidden/>
    <w:pPr>
      <w:pBdr/>
      <w:spacing/>
      <w:ind/>
    </w:pPr>
  </w:style>
  <w:style w:type="character" w:styleId="885">
    <w:name w:val="Заголовок Знак,Номер таблиці Знак"/>
    <w:next w:val="885"/>
    <w:link w:val="886"/>
    <w:pPr>
      <w:pBdr/>
      <w:spacing/>
      <w:ind/>
    </w:pPr>
    <w:rPr>
      <w:sz w:val="28"/>
      <w:szCs w:val="28"/>
      <w:lang w:val="uk-UA"/>
    </w:rPr>
  </w:style>
  <w:style w:type="paragraph" w:styleId="886">
    <w:name w:val="Заголовок,Номер таблиці"/>
    <w:basedOn w:val="881"/>
    <w:next w:val="886"/>
    <w:link w:val="885"/>
    <w:qFormat/>
    <w:pPr>
      <w:pBdr/>
      <w:spacing/>
      <w:ind/>
      <w:jc w:val="center"/>
    </w:pPr>
    <w:rPr>
      <w:sz w:val="28"/>
      <w:szCs w:val="28"/>
      <w:lang w:val="uk-UA"/>
    </w:rPr>
  </w:style>
  <w:style w:type="character" w:styleId="887">
    <w:name w:val="Название Знак1"/>
    <w:next w:val="887"/>
    <w:link w:val="886"/>
    <w:pPr>
      <w:pBdr/>
      <w:spacing/>
      <w:ind/>
    </w:pPr>
    <w:rPr>
      <w:rFonts w:ascii="Cambria" w:hAnsi="Cambria" w:eastAsia="Times New Roman" w:cs="Times New Roman"/>
      <w:b/>
      <w:bCs/>
      <w:sz w:val="32"/>
      <w:szCs w:val="32"/>
    </w:rPr>
  </w:style>
  <w:style w:type="paragraph" w:styleId="888">
    <w:name w:val="Основной текст с отступом"/>
    <w:basedOn w:val="881"/>
    <w:next w:val="888"/>
    <w:link w:val="889"/>
    <w:unhideWhenUsed/>
    <w:pPr>
      <w:pBdr/>
      <w:spacing w:after="120"/>
      <w:ind w:left="283"/>
    </w:pPr>
    <w:rPr>
      <w:sz w:val="24"/>
      <w:szCs w:val="24"/>
    </w:rPr>
  </w:style>
  <w:style w:type="character" w:styleId="889">
    <w:name w:val="Основной текст с отступом Знак"/>
    <w:next w:val="889"/>
    <w:link w:val="888"/>
    <w:pPr>
      <w:pBdr/>
      <w:spacing/>
      <w:ind/>
    </w:pPr>
    <w:rPr>
      <w:sz w:val="24"/>
      <w:szCs w:val="24"/>
    </w:rPr>
  </w:style>
  <w:style w:type="paragraph" w:styleId="890">
    <w:name w:val="Обычный (Интернет)"/>
    <w:basedOn w:val="881"/>
    <w:next w:val="890"/>
    <w:link w:val="881"/>
    <w:uiPriority w:val="99"/>
    <w:unhideWhenUsed/>
    <w:pPr>
      <w:pBdr/>
      <w:spacing w:after="100" w:afterAutospacing="1" w:before="100" w:beforeAutospacing="1"/>
      <w:ind/>
    </w:pPr>
    <w:rPr>
      <w:sz w:val="24"/>
      <w:szCs w:val="24"/>
    </w:rPr>
  </w:style>
  <w:style w:type="character" w:styleId="891">
    <w:name w:val="Основной текст (2)_"/>
    <w:next w:val="891"/>
    <w:link w:val="892"/>
    <w:pPr>
      <w:pBdr/>
      <w:spacing/>
      <w:ind/>
    </w:pPr>
    <w:rPr>
      <w:sz w:val="17"/>
      <w:szCs w:val="17"/>
      <w:shd w:val="clear" w:color="auto" w:fill="ffffff"/>
    </w:rPr>
  </w:style>
  <w:style w:type="paragraph" w:styleId="892">
    <w:name w:val="Основной текст (2)"/>
    <w:basedOn w:val="881"/>
    <w:next w:val="892"/>
    <w:link w:val="891"/>
    <w:pPr>
      <w:widowControl w:val="false"/>
      <w:pBdr/>
      <w:shd w:val="clear" w:color="auto" w:fill="ffffff"/>
      <w:spacing w:line="168" w:lineRule="exact"/>
      <w:ind/>
      <w:jc w:val="both"/>
    </w:pPr>
    <w:rPr>
      <w:sz w:val="17"/>
      <w:szCs w:val="17"/>
    </w:rPr>
  </w:style>
  <w:style w:type="paragraph" w:styleId="893">
    <w:name w:val="Текст выноски"/>
    <w:basedOn w:val="881"/>
    <w:next w:val="893"/>
    <w:link w:val="894"/>
    <w:pPr>
      <w:pBdr/>
      <w:spacing/>
      <w:ind/>
    </w:pPr>
    <w:rPr>
      <w:rFonts w:ascii="Tahoma" w:hAnsi="Tahoma" w:cs="Tahoma"/>
      <w:sz w:val="16"/>
      <w:szCs w:val="16"/>
    </w:rPr>
  </w:style>
  <w:style w:type="character" w:styleId="894">
    <w:name w:val="Текст выноски Знак"/>
    <w:next w:val="894"/>
    <w:link w:val="893"/>
    <w:pPr>
      <w:pBdr/>
      <w:spacing/>
      <w:ind/>
    </w:pPr>
    <w:rPr>
      <w:rFonts w:ascii="Tahoma" w:hAnsi="Tahoma" w:cs="Tahoma"/>
      <w:sz w:val="16"/>
      <w:szCs w:val="16"/>
    </w:rPr>
  </w:style>
  <w:style w:type="paragraph" w:styleId="895">
    <w:name w:val="Верхний колонтитул"/>
    <w:basedOn w:val="881"/>
    <w:next w:val="895"/>
    <w:link w:val="896"/>
    <w:uiPriority w:val="99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896">
    <w:name w:val="Верхний колонтитул Знак"/>
    <w:basedOn w:val="882"/>
    <w:next w:val="896"/>
    <w:link w:val="895"/>
    <w:uiPriority w:val="99"/>
    <w:pPr>
      <w:pBdr/>
      <w:spacing/>
      <w:ind/>
    </w:pPr>
  </w:style>
  <w:style w:type="paragraph" w:styleId="897">
    <w:name w:val="Нижний колонтитул"/>
    <w:basedOn w:val="881"/>
    <w:next w:val="897"/>
    <w:link w:val="898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898">
    <w:name w:val="Нижний колонтитул Знак"/>
    <w:basedOn w:val="882"/>
    <w:next w:val="898"/>
    <w:link w:val="897"/>
    <w:pPr>
      <w:pBdr/>
      <w:spacing/>
      <w:ind/>
    </w:pPr>
  </w:style>
  <w:style w:type="paragraph" w:styleId="899">
    <w:name w:val="Назва документа"/>
    <w:basedOn w:val="881"/>
    <w:next w:val="881"/>
    <w:link w:val="881"/>
    <w:pPr>
      <w:keepNext w:val="true"/>
      <w:keepLines w:val="true"/>
      <w:pBdr/>
      <w:spacing w:after="240" w:before="240"/>
      <w:ind/>
      <w:jc w:val="center"/>
    </w:pPr>
    <w:rPr>
      <w:rFonts w:ascii="Antiqua" w:hAnsi="Antiqua"/>
      <w:b/>
      <w:sz w:val="26"/>
      <w:lang w:val="uk-UA"/>
    </w:rPr>
  </w:style>
  <w:style w:type="paragraph" w:styleId="900">
    <w:name w:val="Shapka Documentu"/>
    <w:basedOn w:val="881"/>
    <w:next w:val="900"/>
    <w:link w:val="881"/>
    <w:pPr>
      <w:keepNext w:val="true"/>
      <w:keepLines w:val="true"/>
      <w:pBdr/>
      <w:spacing w:after="240"/>
      <w:ind w:left="3969"/>
      <w:jc w:val="center"/>
    </w:pPr>
    <w:rPr>
      <w:rFonts w:ascii="Antiqua" w:hAnsi="Antiqua"/>
      <w:sz w:val="26"/>
      <w:lang w:val="uk-UA"/>
    </w:rPr>
  </w:style>
  <w:style w:type="character" w:styleId="901">
    <w:name w:val="fontstyle01"/>
    <w:next w:val="901"/>
    <w:link w:val="881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MoBIL GROUP</Company>
  <DocSecurity>0</DocSecurity>
  <HyperlinksChanged>false</HyperlinksChanged>
  <ScaleCrop>false</ScaleCrop>
  <SharedDoc>false</SharedDoc>
  <Template>Normal.dot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Кужекіна Юлія Сергіївна</cp:lastModifiedBy>
  <cp:revision>184</cp:revision>
  <dcterms:created xsi:type="dcterms:W3CDTF">2025-01-16T07:29:00Z</dcterms:created>
  <dcterms:modified xsi:type="dcterms:W3CDTF">2025-08-27T13:17:39Z</dcterms:modified>
  <cp:version>1048576</cp:version>
</cp:coreProperties>
</file>