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сер</w:t>
      </w:r>
      <w:r>
        <w:rPr>
          <w:rFonts w:cs="Mangal"/>
          <w:color w:val="000000" w:themeColor="text1"/>
          <w:szCs w:val="28"/>
          <w:lang w:eastAsia="hi-IN" w:bidi="hi-IN"/>
        </w:rPr>
        <w:t xml:space="preserve">пн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228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25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Внести зміни до помісячного розпису видатків загального </w:t>
      </w:r>
      <w:r>
        <w:rPr>
          <w:szCs w:val="28"/>
        </w:rPr>
        <w:t xml:space="preserve">фонду Відділу освіти Менської міської ради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1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 з н</w:t>
      </w:r>
      <w:r>
        <w:rPr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за природний газ</w:t>
      </w:r>
      <w:r>
        <w:rPr>
          <w:szCs w:val="28"/>
        </w:rPr>
        <w:t xml:space="preserve"> у грудні місяці на суму </w:t>
      </w:r>
      <w:r>
        <w:rPr>
          <w:szCs w:val="28"/>
        </w:rPr>
        <w:t xml:space="preserve">300,00 грн., </w:t>
      </w:r>
      <w:r>
        <w:rPr>
          <w:szCs w:val="28"/>
        </w:rPr>
        <w:t xml:space="preserve">відповідно збільшити кошторисні призначення за вказаним напрямком у серпні місяці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Синявський</w:t>
      </w:r>
      <w:r>
        <w:rPr>
          <w:szCs w:val="28"/>
        </w:rPr>
        <w:t xml:space="preserve">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ст.</w:t>
      </w:r>
      <w:r>
        <w:rPr>
          <w:szCs w:val="28"/>
        </w:rPr>
        <w:t xml:space="preserve"> </w:t>
      </w:r>
      <w:r>
        <w:rPr>
          <w:szCs w:val="28"/>
        </w:rPr>
        <w:t xml:space="preserve">та </w:t>
      </w:r>
      <w:r>
        <w:rPr>
          <w:szCs w:val="28"/>
        </w:rPr>
        <w:t xml:space="preserve">Феськівська</w:t>
      </w:r>
      <w:r>
        <w:rPr>
          <w:szCs w:val="28"/>
        </w:rPr>
        <w:t xml:space="preserve"> гімназія Менської міської ради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0611021 КЕКВ 22</w:t>
      </w:r>
      <w:r>
        <w:rPr>
          <w:szCs w:val="28"/>
        </w:rPr>
        <w:t xml:space="preserve">74</w:t>
      </w:r>
      <w:r>
        <w:rPr>
          <w:szCs w:val="28"/>
        </w:rPr>
        <w:t xml:space="preserve">);</w:t>
      </w:r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1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 н</w:t>
      </w:r>
      <w:r>
        <w:rPr>
          <w:szCs w:val="28"/>
        </w:rPr>
        <w:t xml:space="preserve">адання </w:t>
      </w:r>
      <w:r>
        <w:rPr>
          <w:szCs w:val="28"/>
        </w:rPr>
        <w:t xml:space="preserve">дошкільної освіти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придбання продуктів харчування</w:t>
      </w:r>
      <w:r>
        <w:rPr>
          <w:szCs w:val="28"/>
        </w:rPr>
        <w:t xml:space="preserve"> на суму </w:t>
      </w:r>
      <w:r>
        <w:rPr>
          <w:szCs w:val="28"/>
        </w:rPr>
        <w:t xml:space="preserve">20000,00 грн. у листопаді місяці та на 20000,00 грн. у грудні місяці,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за вказаним напрямком у серпні місяці на суму 40000,00 грн. (Менський ЗДО «Сонечко»)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</w:t>
      </w:r>
      <w:r>
        <w:rPr>
          <w:szCs w:val="28"/>
        </w:rPr>
        <w:t xml:space="preserve">0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КЕКВ </w:t>
      </w:r>
      <w:r>
        <w:rPr>
          <w:szCs w:val="28"/>
        </w:rPr>
        <w:t xml:space="preserve">2230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1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 р</w:t>
      </w:r>
      <w:r>
        <w:rPr>
          <w:szCs w:val="28"/>
        </w:rPr>
        <w:t xml:space="preserve">озвит</w:t>
      </w:r>
      <w:r>
        <w:rPr>
          <w:szCs w:val="28"/>
        </w:rPr>
        <w:t xml:space="preserve">ку</w:t>
      </w:r>
      <w:r>
        <w:rPr>
          <w:szCs w:val="28"/>
        </w:rPr>
        <w:t xml:space="preserve"> здібностей у дітей та молоді з фізичної культури та спорту комунальними дитячо-юнацькими спортивними школами</w:t>
      </w:r>
      <w:r>
        <w:rPr>
          <w:szCs w:val="28"/>
        </w:rPr>
        <w:t xml:space="preserve"> зменшити кошторисні призначення для оплати </w:t>
      </w:r>
      <w:r>
        <w:rPr>
          <w:szCs w:val="28"/>
        </w:rPr>
        <w:t xml:space="preserve">теплопостачання</w:t>
      </w:r>
      <w:r>
        <w:rPr>
          <w:szCs w:val="28"/>
        </w:rPr>
        <w:t xml:space="preserve"> на суму </w:t>
      </w:r>
      <w:r>
        <w:rPr>
          <w:szCs w:val="28"/>
        </w:rPr>
        <w:t xml:space="preserve">230</w:t>
      </w:r>
      <w:r>
        <w:rPr>
          <w:szCs w:val="28"/>
        </w:rPr>
        <w:t xml:space="preserve">,00 грн.</w:t>
      </w:r>
      <w:r>
        <w:rPr>
          <w:szCs w:val="28"/>
        </w:rPr>
        <w:t xml:space="preserve"> у грудні місяці</w:t>
      </w:r>
      <w:r>
        <w:rPr>
          <w:szCs w:val="28"/>
        </w:rPr>
        <w:t xml:space="preserve">, відповідно збільшити кошторисні призначення </w:t>
      </w:r>
      <w:r>
        <w:rPr>
          <w:szCs w:val="28"/>
        </w:rPr>
        <w:t xml:space="preserve">за вка</w:t>
      </w:r>
      <w:r>
        <w:rPr>
          <w:szCs w:val="28"/>
        </w:rPr>
        <w:t xml:space="preserve">заним напрямком у серпні місяці на таку ж суму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</w:t>
      </w:r>
      <w:r>
        <w:rPr>
          <w:szCs w:val="28"/>
        </w:rPr>
        <w:t xml:space="preserve">615130</w:t>
      </w:r>
      <w:r>
        <w:rPr>
          <w:szCs w:val="28"/>
        </w:rPr>
        <w:t xml:space="preserve"> КЕКВ 22</w:t>
      </w:r>
      <w:r>
        <w:rPr>
          <w:szCs w:val="28"/>
        </w:rPr>
        <w:t xml:space="preserve">71</w:t>
      </w:r>
      <w:r>
        <w:rPr>
          <w:szCs w:val="28"/>
        </w:rPr>
        <w:t xml:space="preserve">);</w:t>
      </w:r>
      <w:bookmarkStart w:id="1" w:name="_GoBack"/>
      <w:r/>
      <w:bookmarkEnd w:id="1"/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</w:t>
      </w:r>
      <w:r>
        <w:rPr>
          <w:szCs w:val="28"/>
        </w:rPr>
        <w:t xml:space="preserve">ого фонду Відділу осві</w:t>
      </w:r>
      <w:r>
        <w:rPr>
          <w:szCs w:val="28"/>
        </w:rPr>
        <w:t xml:space="preserve">ти Менської міської ради з надання дошкільної освіти: зменшити кошторисні призначення для придбання предметів, матеріалів, обладнання та інвентарю на суму 910,00 грн., відповідно збільшити кошторисні призначення для інших поточних видатків на таку ж суму (</w:t>
      </w:r>
      <w:r>
        <w:rPr>
          <w:szCs w:val="28"/>
        </w:rPr>
        <w:t xml:space="preserve">Менський ЗДО «Сонечко»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0611010 КЕКВ 2210 -910,00 грн., КЕКВ 2800 +910,00 грн.).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25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3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8897588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"/>
  </w:num>
  <w:num w:numId="6">
    <w:abstractNumId w:val="27"/>
  </w:num>
  <w:num w:numId="7">
    <w:abstractNumId w:val="30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14"/>
  </w:num>
  <w:num w:numId="13">
    <w:abstractNumId w:val="26"/>
  </w:num>
  <w:num w:numId="14">
    <w:abstractNumId w:val="3"/>
  </w:num>
  <w:num w:numId="15">
    <w:abstractNumId w:val="29"/>
  </w:num>
  <w:num w:numId="16">
    <w:abstractNumId w:val="15"/>
  </w:num>
  <w:num w:numId="17">
    <w:abstractNumId w:val="18"/>
  </w:num>
  <w:num w:numId="18">
    <w:abstractNumId w:val="7"/>
  </w:num>
  <w:num w:numId="19">
    <w:abstractNumId w:val="28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7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8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9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51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752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3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4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6">
    <w:name w:val="Heading 1"/>
    <w:basedOn w:val="755"/>
    <w:next w:val="755"/>
    <w:link w:val="9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9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2">
    <w:name w:val="Heading 7"/>
    <w:basedOn w:val="755"/>
    <w:next w:val="755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3">
    <w:name w:val="Heading 8"/>
    <w:basedOn w:val="755"/>
    <w:next w:val="755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4">
    <w:name w:val="Heading 9"/>
    <w:basedOn w:val="755"/>
    <w:next w:val="755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Heading 1 Char"/>
    <w:basedOn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Heading 3 Char"/>
    <w:basedOn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5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65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uiPriority w:val="29"/>
    <w:pPr>
      <w:pBdr/>
      <w:spacing/>
      <w:ind/>
    </w:pPr>
    <w:rPr>
      <w:i/>
    </w:rPr>
  </w:style>
  <w:style w:type="character" w:styleId="780" w:customStyle="1">
    <w:name w:val="Intense Quote Char"/>
    <w:uiPriority w:val="30"/>
    <w:pPr>
      <w:pBdr/>
      <w:spacing/>
      <w:ind/>
    </w:pPr>
    <w:rPr>
      <w:i/>
    </w:rPr>
  </w:style>
  <w:style w:type="character" w:styleId="781" w:customStyle="1">
    <w:name w:val="Header Char"/>
    <w:basedOn w:val="765"/>
    <w:uiPriority w:val="99"/>
    <w:pPr>
      <w:pBdr/>
      <w:spacing/>
      <w:ind/>
    </w:pPr>
  </w:style>
  <w:style w:type="character" w:styleId="782" w:customStyle="1">
    <w:name w:val="Footer Char"/>
    <w:basedOn w:val="765"/>
    <w:uiPriority w:val="99"/>
    <w:pPr>
      <w:pBdr/>
      <w:spacing/>
      <w:ind/>
    </w:pPr>
  </w:style>
  <w:style w:type="table" w:styleId="783" w:customStyle="1">
    <w:name w:val="Звичайна таблиця 1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2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5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1 (світл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4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5 (темн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6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7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писок 1 (світл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5 (темн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6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7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Footnote Text Char"/>
    <w:uiPriority w:val="99"/>
    <w:pPr>
      <w:pBdr/>
      <w:spacing/>
      <w:ind/>
    </w:pPr>
    <w:rPr>
      <w:sz w:val="18"/>
    </w:rPr>
  </w:style>
  <w:style w:type="character" w:styleId="803" w:customStyle="1">
    <w:name w:val="Endnote Text Char"/>
    <w:uiPriority w:val="99"/>
    <w:pPr>
      <w:pBdr/>
      <w:spacing/>
      <w:ind/>
    </w:pPr>
    <w:rPr>
      <w:sz w:val="20"/>
    </w:rPr>
  </w:style>
  <w:style w:type="paragraph" w:styleId="804">
    <w:name w:val="Caption"/>
    <w:basedOn w:val="755"/>
    <w:next w:val="7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5" w:customStyle="1">
    <w:name w:val="Caption Char"/>
    <w:uiPriority w:val="99"/>
    <w:pPr>
      <w:pBdr/>
      <w:spacing/>
      <w:ind/>
    </w:pPr>
  </w:style>
  <w:style w:type="paragraph" w:styleId="806">
    <w:name w:val="endnote text"/>
    <w:basedOn w:val="755"/>
    <w:link w:val="807"/>
    <w:uiPriority w:val="99"/>
    <w:semiHidden/>
    <w:unhideWhenUsed/>
    <w:pPr>
      <w:pBdr/>
      <w:spacing/>
      <w:ind/>
    </w:pPr>
    <w:rPr>
      <w:sz w:val="20"/>
    </w:rPr>
  </w:style>
  <w:style w:type="character" w:styleId="807" w:customStyle="1">
    <w:name w:val="Текст концевой сноски Знак"/>
    <w:link w:val="806"/>
    <w:uiPriority w:val="99"/>
    <w:pPr>
      <w:pBdr/>
      <w:spacing/>
      <w:ind/>
    </w:pPr>
    <w:rPr>
      <w:sz w:val="20"/>
    </w:rPr>
  </w:style>
  <w:style w:type="character" w:styleId="808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809">
    <w:name w:val="table of figures"/>
    <w:basedOn w:val="755"/>
    <w:next w:val="755"/>
    <w:uiPriority w:val="99"/>
    <w:unhideWhenUsed/>
    <w:pPr>
      <w:pBdr/>
      <w:spacing/>
      <w:ind/>
    </w:pPr>
  </w:style>
  <w:style w:type="table" w:styleId="810" w:customStyle="1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1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2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5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1 (світл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4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5 (темн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6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7 (кольорова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1 (світл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2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3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4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5 (темн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6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7 (кольоровий)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 w:customStyle="1">
    <w:name w:val="Заголовок 1 Знак"/>
    <w:basedOn w:val="765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7" w:customStyle="1">
    <w:name w:val="Заголовок 2 Знак"/>
    <w:basedOn w:val="765"/>
    <w:link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8" w:customStyle="1">
    <w:name w:val="Заголовок 3 Знак"/>
    <w:basedOn w:val="765"/>
    <w:link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9" w:customStyle="1">
    <w:name w:val="Заголовок 4 Знак"/>
    <w:basedOn w:val="765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0" w:customStyle="1">
    <w:name w:val="Заголовок 5 Знак"/>
    <w:basedOn w:val="765"/>
    <w:link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1" w:customStyle="1">
    <w:name w:val="Заголовок 6 Знак"/>
    <w:basedOn w:val="765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2" w:customStyle="1">
    <w:name w:val="Заголовок 7 Знак"/>
    <w:basedOn w:val="765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3" w:customStyle="1">
    <w:name w:val="Заголовок 8 Знак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4" w:customStyle="1">
    <w:name w:val="Заголовок 9 Знак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5">
    <w:name w:val="List Paragraph"/>
    <w:basedOn w:val="755"/>
    <w:uiPriority w:val="34"/>
    <w:qFormat/>
    <w:pPr>
      <w:pBdr/>
      <w:spacing/>
      <w:ind w:left="720"/>
      <w:contextualSpacing w:val="true"/>
    </w:pPr>
  </w:style>
  <w:style w:type="paragraph" w:styleId="926">
    <w:name w:val="No Spacing"/>
    <w:uiPriority w:val="1"/>
    <w:qFormat/>
    <w:pPr>
      <w:pBdr/>
      <w:spacing w:after="0" w:line="240" w:lineRule="auto"/>
      <w:ind/>
    </w:pPr>
  </w:style>
  <w:style w:type="paragraph" w:styleId="927">
    <w:name w:val="Title"/>
    <w:basedOn w:val="755"/>
    <w:next w:val="755"/>
    <w:link w:val="9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8" w:customStyle="1">
    <w:name w:val="Название Знак"/>
    <w:basedOn w:val="765"/>
    <w:link w:val="927"/>
    <w:uiPriority w:val="10"/>
    <w:pPr>
      <w:pBdr/>
      <w:spacing/>
      <w:ind/>
    </w:pPr>
    <w:rPr>
      <w:sz w:val="48"/>
      <w:szCs w:val="48"/>
    </w:rPr>
  </w:style>
  <w:style w:type="paragraph" w:styleId="929">
    <w:name w:val="Subtitle"/>
    <w:basedOn w:val="755"/>
    <w:next w:val="755"/>
    <w:link w:val="9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0" w:customStyle="1">
    <w:name w:val="Подзаголовок Знак"/>
    <w:basedOn w:val="765"/>
    <w:link w:val="929"/>
    <w:uiPriority w:val="11"/>
    <w:pPr>
      <w:pBdr/>
      <w:spacing/>
      <w:ind/>
    </w:pPr>
    <w:rPr>
      <w:sz w:val="24"/>
      <w:szCs w:val="24"/>
    </w:rPr>
  </w:style>
  <w:style w:type="paragraph" w:styleId="931">
    <w:name w:val="Quote"/>
    <w:basedOn w:val="755"/>
    <w:next w:val="755"/>
    <w:link w:val="932"/>
    <w:uiPriority w:val="29"/>
    <w:qFormat/>
    <w:pPr>
      <w:pBdr/>
      <w:spacing/>
      <w:ind w:right="720" w:left="720"/>
    </w:pPr>
    <w:rPr>
      <w:i/>
    </w:rPr>
  </w:style>
  <w:style w:type="character" w:styleId="932" w:customStyle="1">
    <w:name w:val="Цитата 2 Знак"/>
    <w:link w:val="931"/>
    <w:uiPriority w:val="29"/>
    <w:pPr>
      <w:pBdr/>
      <w:spacing/>
      <w:ind/>
    </w:pPr>
    <w:rPr>
      <w:i/>
    </w:rPr>
  </w:style>
  <w:style w:type="paragraph" w:styleId="933">
    <w:name w:val="Intense Quote"/>
    <w:basedOn w:val="755"/>
    <w:next w:val="755"/>
    <w:link w:val="9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4" w:customStyle="1">
    <w:name w:val="Выделенная цитата Знак"/>
    <w:link w:val="933"/>
    <w:uiPriority w:val="30"/>
    <w:pPr>
      <w:pBdr/>
      <w:spacing/>
      <w:ind/>
    </w:pPr>
    <w:rPr>
      <w:i/>
    </w:rPr>
  </w:style>
  <w:style w:type="paragraph" w:styleId="935">
    <w:name w:val="Header"/>
    <w:basedOn w:val="755"/>
    <w:link w:val="9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6" w:customStyle="1">
    <w:name w:val="Верхний колонтитул Знак"/>
    <w:basedOn w:val="765"/>
    <w:link w:val="935"/>
    <w:uiPriority w:val="99"/>
    <w:pPr>
      <w:pBdr/>
      <w:spacing/>
      <w:ind/>
    </w:pPr>
  </w:style>
  <w:style w:type="paragraph" w:styleId="937">
    <w:name w:val="Footer"/>
    <w:basedOn w:val="755"/>
    <w:link w:val="9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8" w:customStyle="1">
    <w:name w:val="Нижний колонтитул Знак"/>
    <w:basedOn w:val="765"/>
    <w:link w:val="937"/>
    <w:uiPriority w:val="99"/>
    <w:pPr>
      <w:pBdr/>
      <w:spacing/>
      <w:ind/>
    </w:pPr>
  </w:style>
  <w:style w:type="table" w:styleId="939">
    <w:name w:val="Table Grid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2">
    <w:name w:val="footnote text"/>
    <w:basedOn w:val="755"/>
    <w:link w:val="963"/>
    <w:uiPriority w:val="99"/>
    <w:semiHidden/>
    <w:unhideWhenUsed/>
    <w:pPr>
      <w:pBdr/>
      <w:spacing w:after="40"/>
      <w:ind/>
    </w:pPr>
    <w:rPr>
      <w:sz w:val="18"/>
    </w:rPr>
  </w:style>
  <w:style w:type="character" w:styleId="963" w:customStyle="1">
    <w:name w:val="Текст сноски Знак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basedOn w:val="765"/>
    <w:uiPriority w:val="99"/>
    <w:unhideWhenUsed/>
    <w:pPr>
      <w:pBdr/>
      <w:spacing/>
      <w:ind/>
    </w:pPr>
    <w:rPr>
      <w:vertAlign w:val="superscript"/>
    </w:rPr>
  </w:style>
  <w:style w:type="paragraph" w:styleId="965">
    <w:name w:val="toc 1"/>
    <w:basedOn w:val="755"/>
    <w:next w:val="755"/>
    <w:uiPriority w:val="39"/>
    <w:unhideWhenUsed/>
    <w:pPr>
      <w:pBdr/>
      <w:spacing w:after="57"/>
      <w:ind w:firstLine="0"/>
    </w:pPr>
  </w:style>
  <w:style w:type="paragraph" w:styleId="966">
    <w:name w:val="toc 2"/>
    <w:basedOn w:val="755"/>
    <w:next w:val="755"/>
    <w:uiPriority w:val="39"/>
    <w:unhideWhenUsed/>
    <w:pPr>
      <w:pBdr/>
      <w:spacing w:after="57"/>
      <w:ind w:firstLine="0" w:left="283"/>
    </w:pPr>
  </w:style>
  <w:style w:type="paragraph" w:styleId="967">
    <w:name w:val="toc 3"/>
    <w:basedOn w:val="755"/>
    <w:next w:val="755"/>
    <w:uiPriority w:val="39"/>
    <w:unhideWhenUsed/>
    <w:pPr>
      <w:pBdr/>
      <w:spacing w:after="57"/>
      <w:ind w:firstLine="0" w:left="567"/>
    </w:pPr>
  </w:style>
  <w:style w:type="paragraph" w:styleId="968">
    <w:name w:val="toc 4"/>
    <w:basedOn w:val="755"/>
    <w:next w:val="755"/>
    <w:uiPriority w:val="39"/>
    <w:unhideWhenUsed/>
    <w:pPr>
      <w:pBdr/>
      <w:spacing w:after="57"/>
      <w:ind w:firstLine="0" w:left="850"/>
    </w:pPr>
  </w:style>
  <w:style w:type="paragraph" w:styleId="969">
    <w:name w:val="toc 5"/>
    <w:basedOn w:val="755"/>
    <w:next w:val="755"/>
    <w:uiPriority w:val="39"/>
    <w:unhideWhenUsed/>
    <w:pPr>
      <w:pBdr/>
      <w:spacing w:after="57"/>
      <w:ind w:firstLine="0" w:left="1134"/>
    </w:pPr>
  </w:style>
  <w:style w:type="paragraph" w:styleId="970">
    <w:name w:val="toc 6"/>
    <w:basedOn w:val="755"/>
    <w:next w:val="755"/>
    <w:uiPriority w:val="39"/>
    <w:unhideWhenUsed/>
    <w:pPr>
      <w:pBdr/>
      <w:spacing w:after="57"/>
      <w:ind w:firstLine="0" w:left="1417"/>
    </w:pPr>
  </w:style>
  <w:style w:type="paragraph" w:styleId="971">
    <w:name w:val="toc 7"/>
    <w:basedOn w:val="755"/>
    <w:next w:val="755"/>
    <w:uiPriority w:val="39"/>
    <w:unhideWhenUsed/>
    <w:pPr>
      <w:pBdr/>
      <w:spacing w:after="57"/>
      <w:ind w:firstLine="0" w:left="1701"/>
    </w:pPr>
  </w:style>
  <w:style w:type="paragraph" w:styleId="972">
    <w:name w:val="toc 8"/>
    <w:basedOn w:val="755"/>
    <w:next w:val="755"/>
    <w:uiPriority w:val="39"/>
    <w:unhideWhenUsed/>
    <w:pPr>
      <w:pBdr/>
      <w:spacing w:after="57"/>
      <w:ind w:firstLine="0" w:left="1984"/>
    </w:pPr>
  </w:style>
  <w:style w:type="paragraph" w:styleId="973">
    <w:name w:val="toc 9"/>
    <w:basedOn w:val="755"/>
    <w:next w:val="755"/>
    <w:uiPriority w:val="39"/>
    <w:unhideWhenUsed/>
    <w:pPr>
      <w:pBdr/>
      <w:spacing w:after="57"/>
      <w:ind w:firstLine="0" w:left="2268"/>
    </w:p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Balloon Text"/>
    <w:basedOn w:val="755"/>
    <w:link w:val="97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765"/>
    <w:link w:val="97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7" w:customStyle="1">
    <w:name w:val="docdata"/>
    <w:basedOn w:val="75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3BC7AFF-CDE3-4271-8247-3087DF0F9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477</cp:revision>
  <dcterms:created xsi:type="dcterms:W3CDTF">2023-11-21T13:30:00Z</dcterms:created>
  <dcterms:modified xsi:type="dcterms:W3CDTF">2025-09-05T12:54:53Z</dcterms:modified>
</cp:coreProperties>
</file>