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8"/>
        <w:pBdr/>
        <w:spacing w:after="0" w:afterAutospacing="0" w:before="0" w:beforeAutospacing="0"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Style w:val="898"/>
        <w:pBdr/>
        <w:spacing w:after="0" w:afterAutospacing="0" w:before="0" w:beforeAutospacing="0"/>
        <w:ind/>
        <w:jc w:val="center"/>
        <w:rPr>
          <w:rFonts w:ascii="Times New Roman" w:hAnsi="Times New Roman" w:eastAsia="Times New Roman"/>
          <w:color w:val="000000"/>
        </w:rPr>
      </w:pPr>
      <w:r/>
      <w:bookmarkStart w:id="0" w:name="_Hlk82170484"/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(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шістдесят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третя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 сесія восьмого скликання) </w:t>
      </w:r>
      <w:bookmarkEnd w:id="0"/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widowControl w:val="false"/>
        <w:pBdr/>
        <w:spacing w:after="0" w:afterAutospacing="0" w:before="0" w:beforeAutospacing="0"/>
        <w:ind/>
        <w:jc w:val="center"/>
        <w:rPr>
          <w:rFonts w:ascii="Times New Roman" w:hAnsi="Times New Roman" w:eastAsia="Times New Roman"/>
          <w:color w:val="000000"/>
          <w:lang w:val="uk-UA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 w:eastAsia="hi-IN" w:bidi="hi-IN"/>
        </w:rPr>
        <w:t xml:space="preserve">РІШЕННЯ</w:t>
      </w:r>
      <w:r>
        <w:rPr>
          <w:rFonts w:ascii="Times New Roman" w:hAnsi="Times New Roman" w:eastAsia="Times New Roman"/>
          <w:color w:val="000000"/>
          <w:lang w:val="uk-UA"/>
        </w:rPr>
      </w:r>
      <w:r>
        <w:rPr>
          <w:rFonts w:ascii="Times New Roman" w:hAnsi="Times New Roman" w:eastAsia="Times New Roman"/>
          <w:color w:val="000000"/>
          <w:lang w:val="uk-UA"/>
        </w:rPr>
      </w:r>
    </w:p>
    <w:p>
      <w:pPr>
        <w:pBdr/>
        <w:tabs>
          <w:tab w:val="left" w:leader="none" w:pos="709"/>
          <w:tab w:val="left" w:leader="none" w:pos="7088"/>
        </w:tabs>
        <w:spacing w:after="0" w:afterAutospacing="0" w:before="0" w:beforeAutospacing="0"/>
        <w:ind/>
        <w:jc w:val="both"/>
        <w:rPr>
          <w:rFonts w:ascii="Times New Roman" w:hAnsi="Times New Roman" w:eastAsia="Times New Roman"/>
          <w:color w:val="000000"/>
          <w:sz w:val="16"/>
          <w:szCs w:val="16"/>
          <w:lang w:val="uk-UA"/>
        </w:rPr>
      </w:pPr>
      <w:r>
        <w:rPr>
          <w:rFonts w:ascii="Times New Roman" w:hAnsi="Times New Roman" w:eastAsia="Times New Roman"/>
          <w:color w:val="000000"/>
          <w:sz w:val="16"/>
          <w:szCs w:val="16"/>
          <w:lang w:val="uk-UA"/>
        </w:rPr>
      </w:r>
      <w:r>
        <w:rPr>
          <w:rFonts w:ascii="Times New Roman" w:hAnsi="Times New Roman" w:eastAsia="Times New Roman"/>
          <w:color w:val="000000"/>
          <w:sz w:val="16"/>
          <w:szCs w:val="16"/>
          <w:lang w:val="uk-UA"/>
        </w:rPr>
      </w:r>
      <w:r>
        <w:rPr>
          <w:rFonts w:ascii="Times New Roman" w:hAnsi="Times New Roman" w:eastAsia="Times New Roman"/>
          <w:color w:val="000000"/>
          <w:sz w:val="16"/>
          <w:szCs w:val="16"/>
          <w:lang w:val="uk-UA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 w:after="0" w:afterAutospacing="0" w:before="0" w:beforeAutospacing="0"/>
        <w:ind/>
        <w:rPr>
          <w:rFonts w:ascii="Times New Roman" w:hAnsi="Times New Roman" w:eastAsia="Times New Roman"/>
          <w:color w:val="000000"/>
          <w:sz w:val="28"/>
          <w:lang w:val="uk-UA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2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3 липня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 202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5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 року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ab/>
        <w:t xml:space="preserve">м.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Мена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ab/>
        <w:t xml:space="preserve">№ 441</w:t>
      </w:r>
      <w:r>
        <w:rPr>
          <w:rFonts w:ascii="Times New Roman" w:hAnsi="Times New Roman" w:eastAsia="Times New Roman"/>
          <w:color w:val="000000"/>
          <w:sz w:val="28"/>
          <w:lang w:val="uk-UA"/>
        </w:rPr>
      </w:r>
      <w:r>
        <w:rPr>
          <w:rFonts w:ascii="Times New Roman" w:hAnsi="Times New Roman" w:eastAsia="Times New Roman"/>
          <w:color w:val="000000"/>
          <w:sz w:val="28"/>
          <w:lang w:val="uk-UA"/>
        </w:rPr>
      </w:r>
    </w:p>
    <w:p>
      <w:pPr>
        <w:pStyle w:val="95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/>
        <w:ind w:right="5528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tabs>
          <w:tab w:val="left" w:leader="none" w:pos="426"/>
          <w:tab w:val="left" w:leader="none" w:pos="1276"/>
          <w:tab w:val="left" w:leader="none" w:pos="3850"/>
        </w:tabs>
        <w:spacing w:after="0" w:afterAutospacing="0" w:before="0" w:beforeAutospacing="0"/>
        <w:ind/>
        <w:jc w:val="both"/>
        <w:rPr>
          <w:rFonts w:ascii="Times New Roman" w:hAnsi="Times New Roman" w:eastAsia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Про надання дозволу на розробку технічної документації із землеустрою щодо встановлення меж частини земельної ділянки на яку поширюється право земельного сервітуту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</w:r>
    </w:p>
    <w:p>
      <w:pPr>
        <w:pBdr/>
        <w:tabs>
          <w:tab w:val="left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 w:after="0" w:afterAutospacing="0" w:before="0" w:beforeAutospacing="0"/>
        <w:ind w:firstLine="567"/>
        <w:jc w:val="both"/>
        <w:rPr>
          <w:rFonts w:ascii="Times New Roman" w:hAnsi="Times New Roman" w:eastAsia="Times New Roman"/>
          <w:sz w:val="16"/>
          <w:szCs w:val="16"/>
          <w:lang w:val="uk-UA"/>
        </w:rPr>
      </w:pPr>
      <w:r>
        <w:rPr>
          <w:rFonts w:ascii="Times New Roman" w:hAnsi="Times New Roman" w:eastAsia="Times New Roman"/>
          <w:sz w:val="16"/>
          <w:szCs w:val="16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16"/>
          <w:szCs w:val="16"/>
          <w:lang w:val="uk-UA"/>
        </w:rPr>
      </w:r>
    </w:p>
    <w:p>
      <w:pPr>
        <w:pBdr/>
        <w:tabs>
          <w:tab w:val="left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 w:after="0" w:afterAutospacing="0" w:before="0" w:beforeAutospacing="0"/>
        <w:ind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/>
      <w:bookmarkStart w:id="1" w:name="_GoBack"/>
      <w:r/>
      <w:bookmarkEnd w:id="1"/>
      <w:r>
        <w:rPr>
          <w:rFonts w:ascii="Times New Roman" w:hAnsi="Times New Roman" w:eastAsia="Times New Roman"/>
          <w:sz w:val="28"/>
          <w:szCs w:val="28"/>
          <w:lang w:val="uk-UA"/>
        </w:rPr>
        <w:t xml:space="preserve">Розглянувши клопотання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Фізичної особі – підприємця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І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вахненка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лександр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П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етрович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про надання дозволу на розроблення технічної документації із землеустрою щодо встановлення меж частини земельної ділянки на яку поширюється право земельного сервітуту загальною площею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0,0024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га на користь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Фізичної особі – підприємця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І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вахненка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Олександр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Петрович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для  розміщення тимчасової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споруд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и (малих архітектурних форм)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на земельній ділянці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комунальної власності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0,0209 га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кадастров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ий номер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7423010100:01:002:1179 за цільовим призначенням –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д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ля будівництва та обслуговування інших будівель громадської забудови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(код згідно з КВЦПЗ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03.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15),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по вулиці Чернігівській шлях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в м.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Корюківського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району, Чернігівської області, яка перебуває на праві постійного користування КП «МЕНАКОМУНПОСЛУ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ГА»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керуючись ст.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12, п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унктом "в" ст.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99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ст.100, ст.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122,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ст.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123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ст.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125,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ст.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186 Земельного кодексу України, ст. 26 Закону України «Про місцеве самоврядування в Україні»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Менська міська рада 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 w:after="0" w:afterAutospacing="0" w:before="0" w:beforeAutospacing="0"/>
        <w:ind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ВИРІШИЛА: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897"/>
        <w:numPr>
          <w:ilvl w:val="0"/>
          <w:numId w:val="5"/>
        </w:numPr>
        <w:pBdr/>
        <w:tabs>
          <w:tab w:val="left" w:leader="none" w:pos="142"/>
          <w:tab w:val="left" w:leader="none" w:pos="284"/>
          <w:tab w:val="left" w:leader="none" w:pos="426"/>
          <w:tab w:val="left" w:leader="none" w:pos="709"/>
          <w:tab w:val="left" w:leader="none" w:pos="851"/>
          <w:tab w:val="left" w:leader="none" w:pos="1134"/>
          <w:tab w:val="left" w:leader="none" w:pos="1701"/>
        </w:tabs>
        <w:spacing w:after="0" w:afterAutospacing="0" w:before="0" w:beforeAutospacing="0"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Надати дозвіл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Фізичн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ій особі – підприємцю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Івахненку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Олександру Петровичу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на розроблення технічної документації із землеустрою щодо встановлення меж частини земельної ділянки на яку поширюється право земельного сервітуту загальною площею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0,0024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га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для  розміщення тимчасової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споруд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и (малих архітектурних форм)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на земельній ділянці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комунальної власності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0,0209 га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кадастров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ий номер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7423010100:01:002:1179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за цільовим призначенням –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д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ля будівництва та обслуговування інших будівель громадської забудови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(код згідно з КВЦПЗ -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03.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15),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по вулиці Чернігівській шлях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в м.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Корюківського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району, Чернігівської області, яка перебуває на праві постійного користування КП «МЕНАКОМУНПОСЛУ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ГА»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897"/>
        <w:numPr>
          <w:ilvl w:val="0"/>
          <w:numId w:val="5"/>
        </w:numPr>
        <w:pBdr/>
        <w:tabs>
          <w:tab w:val="left" w:leader="none" w:pos="142"/>
          <w:tab w:val="left" w:leader="none" w:pos="284"/>
          <w:tab w:val="left" w:leader="none" w:pos="426"/>
          <w:tab w:val="left" w:leader="none" w:pos="709"/>
          <w:tab w:val="left" w:leader="none" w:pos="851"/>
          <w:tab w:val="left" w:leader="none" w:pos="1134"/>
          <w:tab w:val="left" w:leader="none" w:pos="1701"/>
        </w:tabs>
        <w:spacing w:after="0" w:afterAutospacing="0" w:before="0" w:beforeAutospacing="0"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Фізичній особі – підприємцю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Івахненку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Олександру Петровичу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виготовлену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технічну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документацію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із землеустрою щодо встановлення меж частини земельної ділянки, на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яку поширюється право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сервітуту,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подати на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погодж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ення до Менської міської ради та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КП «МЕНАКОМУНПОСЛУ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ГА»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897"/>
        <w:numPr>
          <w:ilvl w:val="0"/>
          <w:numId w:val="5"/>
        </w:numPr>
        <w:pBdr/>
        <w:tabs>
          <w:tab w:val="left" w:leader="none" w:pos="0"/>
          <w:tab w:val="left" w:leader="none" w:pos="284"/>
          <w:tab w:val="left" w:leader="none" w:pos="426"/>
          <w:tab w:val="left" w:leader="none" w:pos="709"/>
          <w:tab w:val="left" w:leader="none" w:pos="851"/>
          <w:tab w:val="left" w:leader="none" w:pos="1134"/>
          <w:tab w:val="left" w:leader="none" w:pos="1701"/>
        </w:tabs>
        <w:spacing w:after="0" w:afterAutospacing="0" w:before="0" w:beforeAutospacing="0"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Рішення набуває чинності з дня доведення його до відома Фізичній особі – підприємцю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Івахненку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Олександру Петровичу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в установленому законом порядку.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993"/>
        </w:tabs>
        <w:spacing w:after="0" w:afterAutospacing="0" w:before="0" w:beforeAutospacing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4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ради С.М. </w:t>
      </w:r>
      <w:r>
        <w:rPr>
          <w:rFonts w:ascii="Times New Roman" w:hAnsi="Times New Roman"/>
          <w:sz w:val="28"/>
          <w:szCs w:val="28"/>
          <w:lang w:val="uk-UA"/>
        </w:rPr>
        <w:t xml:space="preserve">Гаєвого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та на постійну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комісію з питань містобудування, будівництва, земельних відносин та охорони природи.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afterAutospacing="0" w:before="0" w:beforeAutospacing="0"/>
        <w:ind/>
        <w:jc w:val="both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18"/>
          <w:szCs w:val="18"/>
          <w:lang w:val="uk-UA"/>
        </w:rPr>
      </w:r>
    </w:p>
    <w:p>
      <w:pPr>
        <w:pBdr/>
        <w:tabs>
          <w:tab w:val="left" w:leader="none" w:pos="6379"/>
        </w:tabs>
        <w:spacing w:after="0" w:afterAutospacing="0" w:before="0" w:beforeAutospacing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lang w:val="uk-UA"/>
        </w:rPr>
        <w:tab/>
        <w:t xml:space="preserve">Юрій СТАЛЬНИЧЕНКО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709" w:left="1560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0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pBdr/>
      <w:spacing/>
      <w:ind/>
      <w:jc w:val="center"/>
      <w:rPr/>
    </w:pPr>
    <w:r>
      <w:rPr>
        <w:rFonts w:ascii="Times New Roman" w:hAnsi="Times New Roman" w:eastAsia="Times New Roman"/>
        <w:sz w:val="28"/>
        <w:lang w:val="uk-UA" w:eastAsia="uk-UA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394334" cy="548640"/>
              <wp:effectExtent l="0" t="0" r="6350" b="381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96688" cy="551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05pt;height:43.2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47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419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91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563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635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707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79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851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923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1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14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9">
    <w:name w:val="Plain Table 1"/>
    <w:basedOn w:val="75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2"/>
    <w:basedOn w:val="75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"/>
    <w:basedOn w:val="7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1 Light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5 Dark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6 Colorful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7 Colorful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38">
    <w:name w:val="Intense Emphasis"/>
    <w:basedOn w:val="75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9">
    <w:name w:val="Intense Reference"/>
    <w:basedOn w:val="75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0">
    <w:name w:val="Subtle Emphasis"/>
    <w:basedOn w:val="75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1">
    <w:name w:val="Emphasis"/>
    <w:basedOn w:val="756"/>
    <w:uiPriority w:val="20"/>
    <w:qFormat/>
    <w:pPr>
      <w:pBdr/>
      <w:spacing/>
      <w:ind/>
    </w:pPr>
    <w:rPr>
      <w:i/>
      <w:iCs/>
    </w:rPr>
  </w:style>
  <w:style w:type="character" w:styleId="742">
    <w:name w:val="Strong"/>
    <w:basedOn w:val="756"/>
    <w:uiPriority w:val="22"/>
    <w:qFormat/>
    <w:pPr>
      <w:pBdr/>
      <w:spacing/>
      <w:ind/>
    </w:pPr>
    <w:rPr>
      <w:b/>
      <w:bCs/>
    </w:rPr>
  </w:style>
  <w:style w:type="character" w:styleId="743">
    <w:name w:val="Subtle Reference"/>
    <w:basedOn w:val="75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4">
    <w:name w:val="Book Title"/>
    <w:basedOn w:val="75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5">
    <w:name w:val="FollowedHyperlink"/>
    <w:basedOn w:val="75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6" w:default="1">
    <w:name w:val="Normal"/>
    <w:qFormat/>
    <w:pPr>
      <w:pBdr/>
      <w:spacing/>
      <w:ind/>
    </w:pPr>
  </w:style>
  <w:style w:type="paragraph" w:styleId="747">
    <w:name w:val="Heading 1"/>
    <w:basedOn w:val="746"/>
    <w:next w:val="746"/>
    <w:link w:val="948"/>
    <w:pPr>
      <w:keepNext w:val="true"/>
      <w:pBdr/>
      <w:spacing/>
      <w:ind/>
      <w:jc w:val="center"/>
      <w:outlineLvl w:val="0"/>
    </w:pPr>
    <w:rPr>
      <w:b/>
      <w:sz w:val="32"/>
    </w:rPr>
  </w:style>
  <w:style w:type="paragraph" w:styleId="748">
    <w:name w:val="Heading 2"/>
    <w:link w:val="88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9">
    <w:name w:val="Heading 3"/>
    <w:link w:val="89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0">
    <w:name w:val="Heading 4"/>
    <w:link w:val="89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1">
    <w:name w:val="Heading 5"/>
    <w:link w:val="89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link w:val="89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53">
    <w:name w:val="Heading 7"/>
    <w:link w:val="89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54">
    <w:name w:val="Heading 8"/>
    <w:link w:val="89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55">
    <w:name w:val="Heading 9"/>
    <w:link w:val="89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6" w:default="1">
    <w:name w:val="Default Paragraph Font"/>
    <w:uiPriority w:val="1"/>
    <w:semiHidden/>
    <w:unhideWhenUsed/>
    <w:pPr>
      <w:pBdr/>
      <w:spacing/>
      <w:ind/>
    </w:pPr>
  </w:style>
  <w:style w:type="table" w:styleId="75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8" w:default="1">
    <w:name w:val="No List"/>
    <w:uiPriority w:val="99"/>
    <w:semiHidden/>
    <w:unhideWhenUsed/>
    <w:pPr>
      <w:pBdr/>
      <w:spacing/>
      <w:ind/>
    </w:pPr>
  </w:style>
  <w:style w:type="character" w:styleId="759" w:customStyle="1">
    <w:name w:val="Endnote Text Char"/>
    <w:uiPriority w:val="99"/>
    <w:pPr>
      <w:pBdr/>
      <w:spacing/>
      <w:ind/>
    </w:pPr>
    <w:rPr>
      <w:sz w:val="20"/>
    </w:rPr>
  </w:style>
  <w:style w:type="paragraph" w:styleId="760">
    <w:name w:val="Caption"/>
    <w:basedOn w:val="746"/>
    <w:next w:val="74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1" w:customStyle="1">
    <w:name w:val="Caption Char"/>
    <w:uiPriority w:val="99"/>
    <w:pPr>
      <w:pBdr/>
      <w:spacing/>
      <w:ind/>
    </w:pPr>
  </w:style>
  <w:style w:type="table" w:styleId="762" w:customStyle="1">
    <w:name w:val="Lined - Accent 6"/>
    <w:basedOn w:val="757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63">
    <w:name w:val="endnote text"/>
    <w:basedOn w:val="746"/>
    <w:link w:val="764"/>
    <w:uiPriority w:val="99"/>
    <w:semiHidden/>
    <w:unhideWhenUsed/>
    <w:pPr>
      <w:pBdr/>
      <w:spacing/>
      <w:ind/>
    </w:pPr>
    <w:rPr>
      <w:sz w:val="20"/>
    </w:rPr>
  </w:style>
  <w:style w:type="character" w:styleId="764" w:customStyle="1">
    <w:name w:val="Текст кінцевої виноски Знак"/>
    <w:link w:val="763"/>
    <w:uiPriority w:val="99"/>
    <w:pPr>
      <w:pBdr/>
      <w:spacing/>
      <w:ind/>
    </w:pPr>
    <w:rPr>
      <w:sz w:val="20"/>
    </w:rPr>
  </w:style>
  <w:style w:type="character" w:styleId="765">
    <w:name w:val="endnote reference"/>
    <w:basedOn w:val="756"/>
    <w:uiPriority w:val="99"/>
    <w:semiHidden/>
    <w:unhideWhenUsed/>
    <w:pPr>
      <w:pBdr/>
      <w:spacing/>
      <w:ind/>
    </w:pPr>
    <w:rPr>
      <w:vertAlign w:val="superscript"/>
    </w:rPr>
  </w:style>
  <w:style w:type="paragraph" w:styleId="766">
    <w:name w:val="table of figures"/>
    <w:basedOn w:val="746"/>
    <w:next w:val="746"/>
    <w:uiPriority w:val="99"/>
    <w:unhideWhenUsed/>
    <w:pPr>
      <w:pBdr/>
      <w:spacing/>
      <w:ind/>
    </w:pPr>
  </w:style>
  <w:style w:type="character" w:styleId="767" w:customStyle="1">
    <w:name w:val="Heading 2 Char"/>
    <w:basedOn w:val="75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8" w:customStyle="1">
    <w:name w:val="Heading 3 Char"/>
    <w:basedOn w:val="7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9" w:customStyle="1">
    <w:name w:val="Heading 4 Char"/>
    <w:basedOn w:val="7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0" w:customStyle="1">
    <w:name w:val="Heading 5 Char"/>
    <w:basedOn w:val="75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1" w:customStyle="1">
    <w:name w:val="Heading 6 Char"/>
    <w:basedOn w:val="75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2" w:customStyle="1">
    <w:name w:val="Heading 7 Char"/>
    <w:basedOn w:val="75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3" w:customStyle="1">
    <w:name w:val="Heading 8 Char"/>
    <w:basedOn w:val="75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4" w:customStyle="1">
    <w:name w:val="Heading 9 Char"/>
    <w:basedOn w:val="75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5" w:customStyle="1">
    <w:name w:val="Title Char"/>
    <w:basedOn w:val="756"/>
    <w:uiPriority w:val="10"/>
    <w:pPr>
      <w:pBdr/>
      <w:spacing/>
      <w:ind/>
    </w:pPr>
    <w:rPr>
      <w:sz w:val="48"/>
      <w:szCs w:val="48"/>
    </w:rPr>
  </w:style>
  <w:style w:type="character" w:styleId="776" w:customStyle="1">
    <w:name w:val="Subtitle Char"/>
    <w:basedOn w:val="756"/>
    <w:uiPriority w:val="11"/>
    <w:pPr>
      <w:pBdr/>
      <w:spacing/>
      <w:ind/>
    </w:pPr>
    <w:rPr>
      <w:sz w:val="24"/>
      <w:szCs w:val="24"/>
    </w:rPr>
  </w:style>
  <w:style w:type="character" w:styleId="777" w:customStyle="1">
    <w:name w:val="Quote Char"/>
    <w:uiPriority w:val="29"/>
    <w:pPr>
      <w:pBdr/>
      <w:spacing/>
      <w:ind/>
    </w:pPr>
    <w:rPr>
      <w:i/>
    </w:rPr>
  </w:style>
  <w:style w:type="character" w:styleId="778" w:customStyle="1">
    <w:name w:val="Intense Quote Char"/>
    <w:uiPriority w:val="30"/>
    <w:pPr>
      <w:pBdr/>
      <w:spacing/>
      <w:ind/>
    </w:pPr>
    <w:rPr>
      <w:i/>
    </w:rPr>
  </w:style>
  <w:style w:type="character" w:styleId="779" w:customStyle="1">
    <w:name w:val="Header Char"/>
    <w:basedOn w:val="756"/>
    <w:uiPriority w:val="99"/>
    <w:pPr>
      <w:pBdr/>
      <w:spacing/>
      <w:ind/>
    </w:pPr>
  </w:style>
  <w:style w:type="character" w:styleId="780" w:customStyle="1">
    <w:name w:val="Footer Char"/>
    <w:basedOn w:val="756"/>
    <w:uiPriority w:val="99"/>
    <w:pPr>
      <w:pBdr/>
      <w:spacing/>
      <w:ind/>
    </w:pPr>
  </w:style>
  <w:style w:type="table" w:styleId="781" w:customStyle="1">
    <w:name w:val="Table Grid Light"/>
    <w:basedOn w:val="75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Звичайна таблиця 11"/>
    <w:basedOn w:val="75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Звичайна таблиця 21"/>
    <w:basedOn w:val="757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Звичайна таблиця 31"/>
    <w:basedOn w:val="75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Звичайна таблиця 41"/>
    <w:basedOn w:val="75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51"/>
    <w:basedOn w:val="75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Сітка таблиці 1 (світла)1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1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2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3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4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5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6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ітка 21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1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2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3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4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5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6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ітка 31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1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2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3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4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5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6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ітка 41"/>
    <w:basedOn w:val="757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1"/>
    <w:basedOn w:val="757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2"/>
    <w:basedOn w:val="757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3"/>
    <w:basedOn w:val="757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4"/>
    <w:basedOn w:val="757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5"/>
    <w:basedOn w:val="757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6"/>
    <w:basedOn w:val="757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Сітка таблиці 5 (темна)1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1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2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3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- Accent 4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5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6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Сітка таблиці 6 (кольорова)1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1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2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3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4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5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6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Сітка таблиці 7 (кольорова)1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1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2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3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4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5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6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Список таблиці 1 (світлий)1"/>
    <w:basedOn w:val="75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1"/>
    <w:basedOn w:val="75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2"/>
    <w:basedOn w:val="75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3"/>
    <w:basedOn w:val="75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4"/>
    <w:basedOn w:val="75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5"/>
    <w:basedOn w:val="75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6"/>
    <w:basedOn w:val="75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Список таблиці 21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1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2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3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4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5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6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Список таблиці 31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1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2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3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4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5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6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Список таблиці 41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1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2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3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4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5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6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Список таблиці 5 (темний)1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1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2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3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4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5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6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Список таблиці 6 (кольоровий)1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1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2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3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4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5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6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Список таблиці 7 (кольоровий)1"/>
    <w:basedOn w:val="757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1"/>
    <w:basedOn w:val="757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2"/>
    <w:basedOn w:val="757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3"/>
    <w:basedOn w:val="757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4"/>
    <w:basedOn w:val="757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5"/>
    <w:basedOn w:val="757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6"/>
    <w:basedOn w:val="757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"/>
    <w:basedOn w:val="757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"/>
    <w:basedOn w:val="757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7" w:customStyle="1">
    <w:name w:val="Footnote Text Char"/>
    <w:uiPriority w:val="99"/>
    <w:pPr>
      <w:pBdr/>
      <w:spacing/>
      <w:ind/>
    </w:pPr>
    <w:rPr>
      <w:sz w:val="18"/>
    </w:rPr>
  </w:style>
  <w:style w:type="character" w:styleId="888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89" w:customStyle="1">
    <w:name w:val="Заголовок 2 Знак"/>
    <w:link w:val="74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90" w:customStyle="1">
    <w:name w:val="Заголовок 3 Знак"/>
    <w:link w:val="74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91" w:customStyle="1">
    <w:name w:val="Заголовок 4 Знак"/>
    <w:link w:val="75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92" w:customStyle="1">
    <w:name w:val="Заголовок 5 Знак"/>
    <w:link w:val="75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93" w:customStyle="1">
    <w:name w:val="Заголовок 6 Знак"/>
    <w:link w:val="75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94" w:customStyle="1">
    <w:name w:val="Заголовок 7 Знак"/>
    <w:link w:val="75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5" w:customStyle="1">
    <w:name w:val="Заголовок 8 Знак"/>
    <w:link w:val="75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96" w:customStyle="1">
    <w:name w:val="Заголовок 9 Знак"/>
    <w:link w:val="7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7">
    <w:name w:val="List Paragraph"/>
    <w:qFormat/>
    <w:pPr>
      <w:pBdr/>
      <w:spacing/>
      <w:ind w:left="720"/>
      <w:contextualSpacing w:val="true"/>
    </w:pPr>
  </w:style>
  <w:style w:type="paragraph" w:styleId="898">
    <w:name w:val="No Spacing"/>
    <w:link w:val="918"/>
    <w:pPr>
      <w:pBdr/>
      <w:spacing/>
      <w:ind/>
    </w:pPr>
    <w:rPr>
      <w:lang w:val="uk-UA" w:bidi="ar-SA"/>
    </w:rPr>
  </w:style>
  <w:style w:type="paragraph" w:styleId="899">
    <w:name w:val="Title"/>
    <w:link w:val="90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00" w:customStyle="1">
    <w:name w:val="Назва Знак"/>
    <w:link w:val="899"/>
    <w:uiPriority w:val="10"/>
    <w:pPr>
      <w:pBdr/>
      <w:spacing/>
      <w:ind/>
    </w:pPr>
    <w:rPr>
      <w:sz w:val="48"/>
      <w:szCs w:val="48"/>
    </w:rPr>
  </w:style>
  <w:style w:type="paragraph" w:styleId="901">
    <w:name w:val="Subtitle"/>
    <w:link w:val="90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02" w:customStyle="1">
    <w:name w:val="Підзаголовок Знак"/>
    <w:link w:val="901"/>
    <w:uiPriority w:val="11"/>
    <w:pPr>
      <w:pBdr/>
      <w:spacing/>
      <w:ind/>
    </w:pPr>
    <w:rPr>
      <w:sz w:val="24"/>
      <w:szCs w:val="24"/>
    </w:rPr>
  </w:style>
  <w:style w:type="paragraph" w:styleId="903">
    <w:name w:val="Quote"/>
    <w:link w:val="904"/>
    <w:uiPriority w:val="29"/>
    <w:qFormat/>
    <w:pPr>
      <w:pBdr/>
      <w:spacing/>
      <w:ind w:right="720" w:left="720"/>
    </w:pPr>
    <w:rPr>
      <w:i/>
    </w:rPr>
  </w:style>
  <w:style w:type="character" w:styleId="904" w:customStyle="1">
    <w:name w:val="Цитата Знак"/>
    <w:link w:val="903"/>
    <w:uiPriority w:val="29"/>
    <w:pPr>
      <w:pBdr/>
      <w:spacing/>
      <w:ind/>
    </w:pPr>
    <w:rPr>
      <w:i/>
    </w:rPr>
  </w:style>
  <w:style w:type="paragraph" w:styleId="905">
    <w:name w:val="Intense Quote"/>
    <w:link w:val="90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06" w:customStyle="1">
    <w:name w:val="Насичена цитата Знак"/>
    <w:link w:val="905"/>
    <w:uiPriority w:val="30"/>
    <w:pPr>
      <w:pBdr/>
      <w:spacing/>
      <w:ind/>
    </w:pPr>
    <w:rPr>
      <w:i/>
    </w:rPr>
  </w:style>
  <w:style w:type="paragraph" w:styleId="907">
    <w:name w:val="Header"/>
    <w:link w:val="90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08" w:customStyle="1">
    <w:name w:val="Верхній колонтитул Знак"/>
    <w:link w:val="907"/>
    <w:uiPriority w:val="99"/>
    <w:pPr>
      <w:pBdr/>
      <w:spacing/>
      <w:ind/>
    </w:pPr>
  </w:style>
  <w:style w:type="paragraph" w:styleId="909">
    <w:name w:val="Footer"/>
    <w:link w:val="91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0" w:customStyle="1">
    <w:name w:val="Нижній колонтитул Знак"/>
    <w:link w:val="909"/>
    <w:uiPriority w:val="99"/>
    <w:pPr>
      <w:pBdr/>
      <w:spacing/>
      <w:ind/>
    </w:pPr>
  </w:style>
  <w:style w:type="table" w:styleId="911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Без інтервалів Знак"/>
    <w:link w:val="898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4">
    <w:name w:val="footnote text"/>
    <w:link w:val="935"/>
    <w:uiPriority w:val="99"/>
    <w:semiHidden/>
    <w:unhideWhenUsed/>
    <w:pPr>
      <w:pBdr/>
      <w:spacing w:after="40"/>
      <w:ind/>
    </w:pPr>
    <w:rPr>
      <w:sz w:val="18"/>
    </w:rPr>
  </w:style>
  <w:style w:type="character" w:styleId="935" w:customStyle="1">
    <w:name w:val="Текст виноски Знак"/>
    <w:link w:val="934"/>
    <w:uiPriority w:val="99"/>
    <w:pPr>
      <w:pBdr/>
      <w:spacing/>
      <w:ind/>
    </w:pPr>
    <w:rPr>
      <w:sz w:val="18"/>
    </w:rPr>
  </w:style>
  <w:style w:type="character" w:styleId="936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37">
    <w:name w:val="toc 1"/>
    <w:uiPriority w:val="39"/>
    <w:unhideWhenUsed/>
    <w:pPr>
      <w:pBdr/>
      <w:spacing w:after="57"/>
      <w:ind/>
    </w:pPr>
  </w:style>
  <w:style w:type="paragraph" w:styleId="938">
    <w:name w:val="toc 2"/>
    <w:uiPriority w:val="39"/>
    <w:unhideWhenUsed/>
    <w:pPr>
      <w:pBdr/>
      <w:spacing w:after="57"/>
      <w:ind w:left="283"/>
    </w:pPr>
  </w:style>
  <w:style w:type="paragraph" w:styleId="939">
    <w:name w:val="toc 3"/>
    <w:uiPriority w:val="39"/>
    <w:unhideWhenUsed/>
    <w:pPr>
      <w:pBdr/>
      <w:spacing w:after="57"/>
      <w:ind w:left="567"/>
    </w:pPr>
  </w:style>
  <w:style w:type="paragraph" w:styleId="940">
    <w:name w:val="toc 4"/>
    <w:uiPriority w:val="39"/>
    <w:unhideWhenUsed/>
    <w:pPr>
      <w:pBdr/>
      <w:spacing w:after="57"/>
      <w:ind w:left="850"/>
    </w:pPr>
  </w:style>
  <w:style w:type="paragraph" w:styleId="941">
    <w:name w:val="toc 5"/>
    <w:uiPriority w:val="39"/>
    <w:unhideWhenUsed/>
    <w:pPr>
      <w:pBdr/>
      <w:spacing w:after="57"/>
      <w:ind w:left="1134"/>
    </w:pPr>
  </w:style>
  <w:style w:type="paragraph" w:styleId="942">
    <w:name w:val="toc 6"/>
    <w:uiPriority w:val="39"/>
    <w:unhideWhenUsed/>
    <w:pPr>
      <w:pBdr/>
      <w:spacing w:after="57"/>
      <w:ind w:left="1417"/>
    </w:pPr>
  </w:style>
  <w:style w:type="paragraph" w:styleId="943">
    <w:name w:val="toc 7"/>
    <w:uiPriority w:val="39"/>
    <w:unhideWhenUsed/>
    <w:pPr>
      <w:pBdr/>
      <w:spacing w:after="57"/>
      <w:ind w:left="1701"/>
    </w:pPr>
  </w:style>
  <w:style w:type="paragraph" w:styleId="944">
    <w:name w:val="toc 8"/>
    <w:uiPriority w:val="39"/>
    <w:unhideWhenUsed/>
    <w:pPr>
      <w:pBdr/>
      <w:spacing w:after="57"/>
      <w:ind w:left="1984"/>
    </w:pPr>
  </w:style>
  <w:style w:type="paragraph" w:styleId="945">
    <w:name w:val="toc 9"/>
    <w:uiPriority w:val="39"/>
    <w:unhideWhenUsed/>
    <w:pPr>
      <w:pBdr/>
      <w:spacing w:after="57"/>
      <w:ind w:left="2268"/>
    </w:pPr>
  </w:style>
  <w:style w:type="paragraph" w:styleId="946">
    <w:name w:val="TOC Heading"/>
    <w:uiPriority w:val="39"/>
    <w:unhideWhenUsed/>
    <w:pPr>
      <w:pBdr/>
      <w:spacing/>
      <w:ind/>
    </w:pPr>
  </w:style>
  <w:style w:type="paragraph" w:styleId="947" w:customStyle="1">
    <w:name w:val="Титулка"/>
    <w:basedOn w:val="746"/>
    <w:pPr>
      <w:pBdr/>
      <w:spacing w:after="120"/>
      <w:ind/>
    </w:pPr>
    <w:rPr>
      <w:b/>
      <w:sz w:val="28"/>
      <w:lang w:eastAsia="ar-SA"/>
    </w:rPr>
  </w:style>
  <w:style w:type="character" w:styleId="948" w:customStyle="1">
    <w:name w:val="Заголовок 1 Знак"/>
    <w:link w:val="747"/>
    <w:pPr>
      <w:pBdr/>
      <w:spacing/>
      <w:ind/>
    </w:pPr>
    <w:rPr>
      <w:rFonts w:ascii="Times New Roman" w:hAnsi="Times New Roman" w:eastAsia="Times New Roman"/>
      <w:b/>
      <w:sz w:val="32"/>
      <w:lang w:val="en-US" w:eastAsia="en-US"/>
    </w:rPr>
  </w:style>
  <w:style w:type="paragraph" w:styleId="949">
    <w:name w:val="Balloon Text"/>
    <w:basedOn w:val="746"/>
    <w:link w:val="950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50" w:customStyle="1">
    <w:name w:val="Текст у виносці Знак"/>
    <w:basedOn w:val="756"/>
    <w:link w:val="949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51" w:customStyle="1">
    <w:name w:val="TOC Heading Char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imes New Roman" w:hAnsi="Times New Roman" w:eastAsia="Times New Roman"/>
      <w:sz w:val="20"/>
      <w:szCs w:val="20"/>
      <w:lang w:val="uk-UA" w:eastAsia="ru-RU" w:bidi="ar-SA"/>
    </w:rPr>
  </w:style>
  <w:style w:type="paragraph" w:styleId="952">
    <w:name w:val="Normal (Web)"/>
    <w:basedOn w:val="746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4FDC55E9-F20F-4116-84EB-D9C3BBA4BA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A89EA-BADF-4053-81E1-A390C3B914B4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СТАЛЬНИЧЕНКО Юрій Валерійович</cp:lastModifiedBy>
  <cp:revision>96</cp:revision>
  <dcterms:created xsi:type="dcterms:W3CDTF">2023-01-24T12:23:00Z</dcterms:created>
  <dcterms:modified xsi:type="dcterms:W3CDTF">2025-07-23T15:25:36Z</dcterms:modified>
</cp:coreProperties>
</file>