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5669"/>
        </w:tabs>
        <w:spacing w:after="0" w:afterAutospacing="0" w:before="0" w:beforeAutospacing="0" w:line="240" w:lineRule="auto"/>
        <w:ind w:right="0" w:firstLine="0" w:left="566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16"/>
          <w:szCs w:val="16"/>
        </w:rPr>
      </w:r>
      <w:bookmarkStart w:id="0" w:name="_GoBack"/>
      <w:r>
        <w:rPr>
          <w:color w:val="000000" w:themeColor="text1"/>
          <w:sz w:val="16"/>
          <w:szCs w:val="16"/>
        </w:rPr>
      </w:r>
      <w:bookmarkEnd w:id="0"/>
      <w:r>
        <w:rPr>
          <w:color w:val="000000" w:themeColor="text1"/>
          <w:sz w:val="22"/>
          <w:szCs w:val="22"/>
        </w:rPr>
        <w:t xml:space="preserve">Додаток </w:t>
      </w:r>
      <w:r>
        <w:rPr>
          <w:color w:val="000000" w:themeColor="text1"/>
          <w:sz w:val="22"/>
          <w:szCs w:val="22"/>
        </w:rPr>
        <w:t xml:space="preserve">до рішення 63 сесії Менської міської ради 8 скликання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Bdr/>
        <w:tabs>
          <w:tab w:val="left" w:leader="none" w:pos="5669"/>
        </w:tabs>
        <w:spacing w:after="0" w:afterAutospacing="0" w:before="0" w:beforeAutospacing="0" w:line="240" w:lineRule="auto"/>
        <w:ind w:right="0" w:firstLine="0" w:left="566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23 липня 2025 року № 400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Bdr/>
        <w:spacing w:after="0" w:afterAutospacing="0" w:before="0" w:beforeAutospacing="0" w:line="240" w:lineRule="auto"/>
        <w:ind/>
        <w:rPr>
          <w:b/>
          <w:color w:val="000000" w:themeColor="text1"/>
          <w:sz w:val="14"/>
          <w:szCs w:val="14"/>
        </w:rPr>
      </w:pPr>
      <w:r>
        <w:rPr>
          <w:b/>
          <w:color w:val="000000" w:themeColor="text1"/>
          <w:sz w:val="14"/>
          <w:szCs w:val="14"/>
        </w:rPr>
      </w:r>
      <w:r>
        <w:rPr>
          <w:b/>
          <w:color w:val="000000" w:themeColor="text1"/>
          <w:sz w:val="14"/>
          <w:szCs w:val="14"/>
        </w:rPr>
      </w:r>
      <w:r>
        <w:rPr>
          <w:b/>
          <w:color w:val="000000" w:themeColor="text1"/>
          <w:sz w:val="14"/>
          <w:szCs w:val="14"/>
        </w:rPr>
      </w:r>
    </w:p>
    <w:p>
      <w:pPr>
        <w:pBdr/>
        <w:spacing w:after="0" w:afterAutospacing="0" w:before="0" w:beforeAutospacing="0" w:line="240" w:lineRule="auto"/>
        <w:ind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Звіт </w:t>
      </w:r>
      <w:r>
        <w:rPr>
          <w:b/>
          <w:color w:val="000000" w:themeColor="text1"/>
          <w:sz w:val="28"/>
          <w:szCs w:val="28"/>
        </w:rPr>
        <w:t xml:space="preserve">про стан виконання Програми </w:t>
      </w:r>
      <w:r>
        <w:rPr>
          <w:b/>
          <w:color w:val="000000" w:themeColor="text1"/>
          <w:sz w:val="28"/>
          <w:szCs w:val="28"/>
        </w:rPr>
        <w:t xml:space="preserve">соціального</w:t>
      </w:r>
      <w:r>
        <w:rPr>
          <w:b/>
          <w:color w:val="000000" w:themeColor="text1"/>
          <w:sz w:val="28"/>
          <w:szCs w:val="28"/>
        </w:rPr>
        <w:t xml:space="preserve"> і </w:t>
      </w:r>
      <w:r>
        <w:rPr>
          <w:b/>
          <w:color w:val="000000" w:themeColor="text1"/>
          <w:sz w:val="28"/>
          <w:szCs w:val="28"/>
        </w:rPr>
        <w:t xml:space="preserve">економічного розвитку Менської міської </w:t>
      </w:r>
      <w:r>
        <w:rPr>
          <w:b/>
          <w:color w:val="000000" w:themeColor="text1"/>
          <w:sz w:val="28"/>
          <w:szCs w:val="28"/>
        </w:rPr>
        <w:t xml:space="preserve">територіальної громади на 2025 рік за 6 місяців 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firstLine="709"/>
        <w:jc w:val="center"/>
        <w:rPr>
          <w:b/>
          <w:bCs/>
          <w:color w:val="000000" w:themeColor="text1"/>
          <w:sz w:val="14"/>
          <w:szCs w:val="14"/>
          <w14:ligatures w14:val="none"/>
        </w:rPr>
      </w:pPr>
      <w:r>
        <w:rPr>
          <w:b/>
          <w:bCs/>
          <w:color w:val="000000" w:themeColor="text1"/>
          <w:sz w:val="14"/>
          <w:szCs w:val="14"/>
        </w:rPr>
      </w:r>
      <w:r>
        <w:rPr>
          <w:b/>
          <w:bCs/>
          <w:color w:val="000000" w:themeColor="text1"/>
          <w:sz w:val="14"/>
          <w:szCs w:val="14"/>
          <w14:ligatures w14:val="none"/>
        </w:rPr>
      </w:r>
      <w:r>
        <w:rPr>
          <w:b/>
          <w:bCs/>
          <w:color w:val="000000" w:themeColor="text1"/>
          <w:sz w:val="14"/>
          <w:szCs w:val="14"/>
          <w14:ligatures w14:val="none"/>
        </w:rPr>
      </w:r>
    </w:p>
    <w:p>
      <w:pPr>
        <w:pBdr/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З метою створення умов для стабільного соціально-економічного розвитку громади, робота апарату міської ради, її структурних підрозділів та виконавчого комітету протягом звітного періоду спрямовувалась на забезпечення виконання основних завдань, визначених </w:t>
      </w:r>
      <w:r>
        <w:rPr>
          <w:color w:val="000000" w:themeColor="text1"/>
          <w:sz w:val="28"/>
          <w:szCs w:val="28"/>
        </w:rPr>
        <w:t xml:space="preserve">Програмою соціально-економічного розвитку Менської міської територіальної громади на 2025 рік, затвердженої рішенням 56 сесії Менської міської ради 8 скликання 19 грудня 2024 року №</w:t>
      </w:r>
      <w:r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 7</w:t>
      </w:r>
      <w:r>
        <w:rPr>
          <w:color w:val="000000" w:themeColor="text1"/>
          <w:sz w:val="28"/>
          <w:szCs w:val="28"/>
        </w:rPr>
        <w:t xml:space="preserve">49.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Протягом  першого півріччя 2025 року виконавчим комітетом Менської міської територіальної громади спільно з Менським управлінням ГУ ДПС у Чернігівській області, депутатським корпусом громади, Фінансовим управлінням, керівниками суб'єктів господарювання вжи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валися заходи по </w:t>
      </w:r>
      <w:r>
        <w:rPr>
          <w:color w:val="000000" w:themeColor="text1"/>
          <w:sz w:val="28"/>
          <w:szCs w:val="28"/>
        </w:rPr>
        <w:t xml:space="preserve">стабілізації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ситуації в усіх сферах життєдіяльності громади, виконання завдань Програми соціально-економічного розвитку території  та виконання місцевого бюджету.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firstLine="709"/>
        <w:jc w:val="center"/>
        <w:rPr>
          <w:b/>
          <w:bCs/>
          <w:color w:val="000000" w:themeColor="text1"/>
          <w:sz w:val="14"/>
          <w:szCs w:val="14"/>
          <w14:ligatures w14:val="none"/>
        </w:rPr>
      </w:pPr>
      <w:r>
        <w:rPr>
          <w:b/>
          <w:bCs/>
          <w:color w:val="000000" w:themeColor="text1"/>
          <w:sz w:val="14"/>
          <w:szCs w:val="14"/>
        </w:rPr>
      </w:r>
      <w:r>
        <w:rPr>
          <w:b/>
          <w:bCs/>
          <w:color w:val="000000" w:themeColor="text1"/>
          <w:sz w:val="14"/>
          <w:szCs w:val="14"/>
          <w14:ligatures w14:val="none"/>
        </w:rPr>
      </w:r>
      <w:r>
        <w:rPr>
          <w:b/>
          <w:bCs/>
          <w:color w:val="000000" w:themeColor="text1"/>
          <w:sz w:val="14"/>
          <w:szCs w:val="14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/>
        <w:ind w:right="0" w:firstLine="0" w:left="0"/>
        <w:jc w:val="lef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Соціально-економічні показники та інфраструктурний розвиток громади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Кількість жителів  Менської громади станом на 01.07.2025 становить 24439 осіб, що в порівнянні з відповідним періодом минулого року на 434 осіб менше. Відповідно до розподілу за місцем проживання у Менській громаді 43,0% населення проживає у місті Мена (10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592 особи - міське населення) та 57,0% у населен</w:t>
      </w:r>
      <w:r>
        <w:rPr>
          <w:color w:val="000000" w:themeColor="text1"/>
          <w:sz w:val="28"/>
          <w:szCs w:val="28"/>
        </w:rPr>
        <w:t xml:space="preserve">их пунктах громади(13847 осіб – сільське населення).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Менська громада зберігає аграрно-промисловий профіль із розвитком переробної промисловості. Промисловість на території громади налічує 10 підприємств та забезпечує роботою близько 319  осіб. Функціонують такі підприємства: ТОВ «Нептун», Приватне акціонерне</w:t>
      </w:r>
      <w:r>
        <w:rPr>
          <w:color w:val="000000" w:themeColor="text1"/>
          <w:sz w:val="28"/>
          <w:szCs w:val="28"/>
        </w:rPr>
        <w:t xml:space="preserve"> товариство «Мена ПАК»,  Приватне акціонерне товариство «Шляхове ремонтно-будівельне управління № 82»,  ТОВ «Будівельна компанія «Волмакс» та інші. Серед найбільших сільськогосподарських підприємств: ТОВ «ДП Зернятко», ТОВ «Мена-Авангард», Сільськогосподар</w:t>
      </w:r>
      <w:r>
        <w:rPr>
          <w:color w:val="000000" w:themeColor="text1"/>
          <w:sz w:val="28"/>
          <w:szCs w:val="28"/>
        </w:rPr>
        <w:t xml:space="preserve">ське товариство з обмеженою відповідальністю «Олстас-льон», ТОВ «Агроресурс-2006», Фермерське господарство «Бутенко» та інші. Загалом на території громади зареєстровані та здійснюють свою діяльність 64 сільськогосподарських підприємств, в яких працює 891 ч</w:t>
      </w:r>
      <w:r>
        <w:rPr>
          <w:color w:val="000000" w:themeColor="text1"/>
          <w:sz w:val="28"/>
          <w:szCs w:val="28"/>
        </w:rPr>
        <w:t xml:space="preserve">оловік.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На території Менської  громади спостерігається активність у сфері реєстрації малого та середнього бізнесу, переважно у сфері  торгівлі та послуг. Так, за 5 місяців поточного року зареєстровано 52 фізичні особи-підприємці, що на 13 більше, ніж за відповідни</w:t>
      </w:r>
      <w:r>
        <w:rPr>
          <w:color w:val="000000" w:themeColor="text1"/>
          <w:sz w:val="28"/>
          <w:szCs w:val="28"/>
        </w:rPr>
        <w:t xml:space="preserve">й минулорічний період. Зареєстрована одна юридична особа ТОВ «ГАРДЕНФИЛД». Стаціонарна торгова роздрібна мережа  фізичних осіб-підприємців на території Менської міської ТГ налічує 36 продовольчих,52 непродовольчих та 65 змішаних об’єктів торгівлі. Стаціона</w:t>
      </w:r>
      <w:r>
        <w:rPr>
          <w:color w:val="000000" w:themeColor="text1"/>
          <w:sz w:val="28"/>
          <w:szCs w:val="28"/>
        </w:rPr>
        <w:t xml:space="preserve">рна торгова роздрібної мережі  юридичної форми власності - мережевий супермаркет «АТБ». На території населених пунктів Менської громади, де відсутня стаціонарна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мережа підприємств торгівлі та побуту здійснюється виїзне обслуговування. Дислокація мережі об’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єктів громадського харчування по Менській ТГ  включає в себе кафе, бари, ресторани, їдальні, закусочні налічує 4 об’єкта юридичної форми власності та 8 об’єктів, що належить фізичним особам-підприємцям.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По</w:t>
      </w:r>
      <w:r>
        <w:rPr>
          <w:color w:val="000000" w:themeColor="text1"/>
          <w:sz w:val="28"/>
          <w:szCs w:val="28"/>
        </w:rPr>
        <w:t xml:space="preserve">слуги з тимчасового проживання та розміщення населення надає міні-готель «Два лева» та готель «Континент».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Банківські послуги надає АТКБ «Приватбанк», відділення АТ «Ощадбанк»,  відділення Райффазейн банку «Аваль».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Поштові послуги  надає АТ «Укрпошта» та ТОВ «Нова пошта».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На території Менської громади працює 8 аптек, 1 автозаправна станція,1 автомобільний газозаправний пункт.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Широко розгалужена мережа об’єктів, що надають побутові послуги населенню, що спрямовані на забезпечення зручності та комфорту мешканців Менської громади, а саме: сфера ремонту одягу; ремонт взуття та шкіряних виробів; перукарні, салони краси, манікюр; пра</w:t>
      </w:r>
      <w:r>
        <w:rPr>
          <w:color w:val="000000" w:themeColor="text1"/>
          <w:sz w:val="28"/>
          <w:szCs w:val="28"/>
        </w:rPr>
        <w:t xml:space="preserve">льня, прасування одягу; організація поховань, виготовлення пам'ятників; ремонт годинників і ювелірних виробів; таксі, вантажні перевезення, кур’єрська доставка, ремонт побутової техніки, автомобілів та інше.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Основні джерела доходів населення – робота в торгівлі, сільському господарстві та промисловості.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У кінці 2024 року обрана керуюча компанія індустріального парку «Менський» - будівельна компанія «Волмакс» строком на 30 років. Розвиток індустріального парку має стати економічним драйвером громади, тому керівництво керуючої компанії активно працює над ви</w:t>
      </w:r>
      <w:r>
        <w:rPr>
          <w:color w:val="000000" w:themeColor="text1"/>
          <w:sz w:val="28"/>
          <w:szCs w:val="28"/>
        </w:rPr>
        <w:t xml:space="preserve">готовлення проектно-кошторисної документації та  вивчає передпроектні пропозиції можливих варіантів колійного розвитку на території індустріального парку «Менський».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Всі проєкти розвитку Менської громади( 54 проєкти станом на 01 липня 2025 року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) розміщені на платформі DREAM, що є інструментом цифрової трансформації процесів відновлення в Україні, який допомагає підвищити прозорість, ефективність і довіру у реалізації м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асштабних проєктів відбудови.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firstLine="709"/>
        <w:jc w:val="center"/>
        <w:rPr>
          <w:b/>
          <w:bCs/>
          <w:color w:val="000000" w:themeColor="text1"/>
          <w:sz w:val="14"/>
          <w:szCs w:val="14"/>
          <w14:ligatures w14:val="none"/>
        </w:rPr>
      </w:pPr>
      <w:r>
        <w:rPr>
          <w:b/>
          <w:bCs/>
          <w:color w:val="000000" w:themeColor="text1"/>
          <w:sz w:val="14"/>
          <w:szCs w:val="14"/>
        </w:rPr>
      </w:r>
      <w:r>
        <w:rPr>
          <w:b/>
          <w:bCs/>
          <w:color w:val="000000" w:themeColor="text1"/>
          <w:sz w:val="14"/>
          <w:szCs w:val="14"/>
          <w14:ligatures w14:val="none"/>
        </w:rPr>
      </w:r>
      <w:r>
        <w:rPr>
          <w:b/>
          <w:bCs/>
          <w:color w:val="000000" w:themeColor="text1"/>
          <w:sz w:val="14"/>
          <w:szCs w:val="14"/>
          <w14:ligatures w14:val="none"/>
        </w:rPr>
      </w:r>
    </w:p>
    <w:p>
      <w:pPr>
        <w:pBdr/>
        <w:spacing w:after="0" w:afterAutospacing="0" w:before="0" w:beforeAutospacing="0" w:line="240" w:lineRule="auto"/>
        <w:ind/>
        <w:jc w:val="center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  <w:t xml:space="preserve">Фінансові показники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Підсумки виконання дохідної частини загального фонду бюджету Менської ТГ за 1 півріч</w:t>
      </w:r>
      <w:r>
        <w:rPr>
          <w:color w:val="000000" w:themeColor="text1"/>
          <w:sz w:val="28"/>
          <w:szCs w:val="28"/>
        </w:rPr>
        <w:t xml:space="preserve">чя 2025 року свідчать про те, що план надходжень податків, зборів, платежів (без</w:t>
      </w:r>
      <w:r>
        <w:rPr>
          <w:color w:val="000000" w:themeColor="text1"/>
          <w:sz w:val="28"/>
          <w:szCs w:val="28"/>
        </w:rPr>
        <w:t xml:space="preserve"> міжбюджетних трансфертів) виконано на 103,1%, перевиконання становить 3 346,9,0 тис</w:t>
      </w:r>
      <w:r>
        <w:rPr>
          <w:color w:val="000000" w:themeColor="text1"/>
          <w:sz w:val="28"/>
          <w:szCs w:val="28"/>
        </w:rPr>
        <w:t xml:space="preserve">. грн (план – 108 157,3 тис. грн, факт – 111 504,2 тис. грн):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 w:firstLine="5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  <w:u w:val="single"/>
        </w:rPr>
        <w:t xml:space="preserve">податкові надходження </w:t>
      </w:r>
      <w:r>
        <w:rPr>
          <w:color w:val="000000" w:themeColor="text1"/>
          <w:sz w:val="28"/>
          <w:szCs w:val="28"/>
        </w:rPr>
        <w:t xml:space="preserve">виконані на 103,1 %, перевиконання становить 3 251,1 тис. грн;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 w:firstLine="5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  <w:u w:val="single"/>
        </w:rPr>
        <w:t xml:space="preserve">неподаткові надходження</w:t>
      </w:r>
      <w:r>
        <w:rPr>
          <w:color w:val="000000" w:themeColor="text1"/>
          <w:sz w:val="28"/>
          <w:szCs w:val="28"/>
        </w:rPr>
        <w:t xml:space="preserve"> виконані на 102,6 %, перевиконання становить 95,8 тис. грн.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 w:firstLine="5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Надходження дотаці</w:t>
      </w:r>
      <w:r>
        <w:rPr>
          <w:color w:val="000000" w:themeColor="text1"/>
          <w:sz w:val="28"/>
          <w:szCs w:val="28"/>
        </w:rPr>
        <w:t xml:space="preserve">й та субвенцій складають – 70 450,3 тис. грн, в тому числі: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2"/>
        </w:numPr>
        <w:pBdr/>
        <w:spacing w:after="0" w:afterAutospacing="0" w:before="0" w:beforeAutospacing="0" w:line="240" w:lineRule="auto"/>
        <w:ind w:firstLine="570"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базова дотація (41020100) – 12 103,8 тис. грн;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2"/>
        </w:numPr>
        <w:pBdr/>
        <w:spacing w:after="0" w:afterAutospacing="0" w:before="0" w:beforeAutospacing="0" w:line="240" w:lineRule="auto"/>
        <w:ind w:firstLine="570"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субвенція на харчоблоки (41033500) – 4 798,5 тис. грн;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2"/>
        </w:numPr>
        <w:pBdr/>
        <w:spacing w:after="0" w:afterAutospacing="0" w:before="0" w:beforeAutospacing="0" w:line="240" w:lineRule="auto"/>
        <w:ind w:firstLine="570"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освітня субвенція (41033900) – 45 120,2 тис. грн;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2"/>
        </w:numPr>
        <w:pBdr/>
        <w:spacing w:after="0" w:afterAutospacing="0" w:before="0" w:beforeAutospacing="0" w:line="240" w:lineRule="auto"/>
        <w:ind w:firstLine="570"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субвенція на підтримку осіб з особливими осв</w:t>
      </w:r>
      <w:r>
        <w:rPr>
          <w:color w:val="000000" w:themeColor="text1"/>
          <w:sz w:val="28"/>
          <w:szCs w:val="28"/>
        </w:rPr>
        <w:t xml:space="preserve">ітніми потребами (41035400) – 168,0 тис. грн;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2"/>
        </w:numPr>
        <w:pBdr/>
        <w:spacing w:after="0" w:afterAutospacing="0" w:before="0" w:beforeAutospacing="0" w:line="240" w:lineRule="auto"/>
        <w:ind w:firstLine="570"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субвенція НУШ на реалізацію інвестиційного проекту (41036000) – 716,4 тис. грн;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2"/>
        </w:numPr>
        <w:pBdr/>
        <w:spacing w:after="0" w:afterAutospacing="0" w:before="0" w:beforeAutospacing="0" w:line="240" w:lineRule="auto"/>
        <w:ind w:firstLine="570"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субвенція на доплату педагогам (41036300) – 3 622,8 тис. грн;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2"/>
        </w:numPr>
        <w:pBdr/>
        <w:spacing w:after="0" w:afterAutospacing="0" w:before="0" w:beforeAutospacing="0" w:line="240" w:lineRule="auto"/>
        <w:ind w:firstLine="570"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субвенція на житло (41050200) – 2 750,9 тис. грн;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2"/>
        </w:numPr>
        <w:pBdr/>
        <w:spacing w:after="0" w:afterAutospacing="0" w:before="0" w:beforeAutospacing="0" w:line="240" w:lineRule="auto"/>
        <w:ind w:firstLine="570"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субвенція на інклюзивно-ресурсний центр за рахунок освітньої субвенції (41051000) –965,4 тис. грн;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2"/>
        </w:numPr>
        <w:pBdr/>
        <w:spacing w:after="0" w:afterAutospacing="0" w:before="0" w:beforeAutospacing="0" w:line="240" w:lineRule="auto"/>
        <w:ind w:firstLine="570"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інші субвенції з місцевого бюджету (41053900) – 204,3 тис. грн, з них: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3"/>
        </w:numPr>
        <w:pBdr/>
        <w:spacing w:after="0" w:afterAutospacing="0" w:before="0" w:beforeAutospacing="0" w:line="240" w:lineRule="auto"/>
        <w:ind w:firstLine="570"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утримання об’єкта спільного користування Менського центру ПМСД (з бюджету Березнянс</w:t>
      </w:r>
      <w:r>
        <w:rPr>
          <w:color w:val="000000" w:themeColor="text1"/>
          <w:sz w:val="28"/>
          <w:szCs w:val="28"/>
        </w:rPr>
        <w:t xml:space="preserve">ької ТГ) – 120,0 тис. грн;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3"/>
        </w:numPr>
        <w:pBdr/>
        <w:spacing w:after="0" w:afterAutospacing="0" w:before="0" w:beforeAutospacing="0" w:line="240" w:lineRule="auto"/>
        <w:ind w:firstLine="570"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пільгове медичне обслуговування осіб, які постраждали внаслідок Чорнобильської катастрофи (з обласного бюджету) – 19,3 тис. грн;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3"/>
        </w:numPr>
        <w:pBdr/>
        <w:spacing w:after="0" w:afterAutospacing="0" w:before="0" w:beforeAutospacing="0" w:line="240" w:lineRule="auto"/>
        <w:ind w:firstLine="570"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виконання депутатських повноважень (з обласного бюджету) – 65,0 тис. грн.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-57" w:firstLine="567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u w:val="none"/>
        </w:rPr>
        <w:t xml:space="preserve">Видаткова частина загального фонду бюджету виконана в сумі 163 948,1 тис. грн, що складає 84,9 % до планового періоду, а саме на: 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-57" w:firstLine="567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u w:val="none"/>
        </w:rPr>
        <w:t xml:space="preserve">- оплату праці працівників бюджетних установ та нарахування на неї – 121 212,4 тис. грн (73,9 % загальної суми видатків);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-57" w:firstLine="567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u w:val="none"/>
        </w:rPr>
        <w:t xml:space="preserve">- спожиті енергоносії – 13 601,0 тис. грн (8,3% загальної суми видатків);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-57" w:firstLine="567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u w:val="none"/>
        </w:rPr>
        <w:t xml:space="preserve">- придбання продуктів харчування – 3 667,3 тис. грн (2,2% загальної суми видатків);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-57" w:firstLine="567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u w:val="none"/>
        </w:rPr>
        <w:t xml:space="preserve">- медикаменти – 54,0 тис. грн;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-57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u w:val="none"/>
        </w:rPr>
        <w:t xml:space="preserve">- інші виплати населенню – 2 894,6 тис. грн (1,8% загальної суми видатків);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-57" w:firstLine="567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u w:val="none"/>
        </w:rPr>
        <w:t xml:space="preserve">- субсидії і поточні трансферти підприємствам – 9 375,6 тис. грн (5,7% загальної суми видатків);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-57" w:firstLine="567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u w:val="none"/>
        </w:rPr>
        <w:t xml:space="preserve">- інші субвенції з місцевого бюджету – 2 162,8 тис. грн (1,3% загальної суми видатків), а саме: на утримання бригад Бірківського та Макошинського пунктів Менської підстанції Корюківської станції Е(Ш)МД в сумі 1 963,8 тис. грн та на проведення поточного рем</w:t>
      </w:r>
      <w:r>
        <w:rPr>
          <w:rFonts w:ascii="Times New Roman" w:hAnsi="Times New Roman" w:eastAsia="Times New Roman" w:cs="Times New Roman"/>
          <w:color w:val="000000" w:themeColor="text1"/>
          <w:sz w:val="28"/>
          <w:u w:val="none"/>
        </w:rPr>
        <w:t xml:space="preserve">онту на Менській підстанції в сумі 199,0 тис. грн;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-57" w:firstLine="567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u w:val="none"/>
        </w:rPr>
        <w:t xml:space="preserve">- субвенції з місцевого бюджету державному бюджету – 1 156,0 тис. грн (0,7% загальної суми видатків), а саме: на проведення ремонтних робіт, необхідних для впровадження системи "Custody Records" в відділенні поліції №1 м.Мена в сумі 800,0 тис. грн; на пали</w:t>
      </w:r>
      <w:r>
        <w:rPr>
          <w:rFonts w:ascii="Times New Roman" w:hAnsi="Times New Roman" w:eastAsia="Times New Roman" w:cs="Times New Roman"/>
          <w:color w:val="000000" w:themeColor="text1"/>
          <w:sz w:val="28"/>
          <w:u w:val="none"/>
        </w:rPr>
        <w:t xml:space="preserve">во-мастильні матеріали для відділення поліції №1 м.Мена в сумі 150,0 тис. грн; Регіональному сервісному центру ГСЦ МВС на облаштування в ТСЦ №7444 (м.Мена) додаткової споруди (санвузла пристосованого для маломобільних груп населення) в сумі 200,0 тис. грн;</w:t>
      </w:r>
      <w:r>
        <w:rPr>
          <w:rFonts w:ascii="Times New Roman" w:hAnsi="Times New Roman" w:eastAsia="Times New Roman" w:cs="Times New Roman"/>
          <w:color w:val="000000" w:themeColor="text1"/>
          <w:sz w:val="28"/>
          <w:u w:val="none"/>
        </w:rPr>
        <w:t xml:space="preserve"> на ЗСУ в сумі 6,0 тис. грн;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-57" w:firstLine="567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u w:val="none"/>
        </w:rPr>
        <w:t xml:space="preserve">- інші видатки – 9824,4 тис. грн (що складає 6% від загальної суми видатків).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firstLine="709"/>
        <w:jc w:val="center"/>
        <w:rPr>
          <w:b/>
          <w:bCs/>
          <w:color w:val="000000" w:themeColor="text1"/>
          <w:sz w:val="14"/>
          <w:szCs w:val="14"/>
          <w14:ligatures w14:val="none"/>
        </w:rPr>
      </w:pPr>
      <w:r>
        <w:rPr>
          <w:b/>
          <w:bCs/>
          <w:color w:val="000000" w:themeColor="text1"/>
          <w:sz w:val="14"/>
          <w:szCs w:val="14"/>
        </w:rPr>
      </w:r>
      <w:bookmarkStart w:id="1" w:name="_heading=h.1u9iyzxbq4ip"/>
      <w:r>
        <w:rPr>
          <w:color w:val="000000" w:themeColor="text1"/>
        </w:rPr>
      </w:r>
      <w:bookmarkEnd w:id="1"/>
      <w:r>
        <w:rPr>
          <w:b/>
          <w:bCs/>
          <w:color w:val="000000" w:themeColor="text1"/>
          <w:sz w:val="14"/>
          <w:szCs w:val="14"/>
          <w14:ligatures w14:val="none"/>
        </w:rPr>
      </w:r>
      <w:r>
        <w:rPr>
          <w:b/>
          <w:bCs/>
          <w:color w:val="000000" w:themeColor="text1"/>
          <w:sz w:val="14"/>
          <w:szCs w:val="14"/>
          <w14:ligatures w14:val="none"/>
        </w:rPr>
      </w:r>
    </w:p>
    <w:p>
      <w:pPr>
        <w:pBdr/>
        <w:spacing w:after="0" w:afterAutospacing="0" w:before="0" w:beforeAutospacing="0" w:line="240" w:lineRule="auto"/>
        <w:ind/>
        <w:jc w:val="center"/>
        <w:rPr>
          <w:b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Житлово-комунальне господарство</w:t>
      </w: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В ра</w:t>
      </w:r>
      <w:r>
        <w:rPr>
          <w:color w:val="000000" w:themeColor="text1"/>
          <w:sz w:val="28"/>
          <w:szCs w:val="28"/>
        </w:rPr>
        <w:t xml:space="preserve">мках Програми відновлення України ІІІ за напрямом будівництво та/або розміщення газопоршневих та газотурбінних установок, зокрема когенераційних, блочно-модульних котелень проєкт «Рекон</w:t>
      </w:r>
      <w:r>
        <w:rPr>
          <w:color w:val="000000" w:themeColor="text1"/>
          <w:sz w:val="28"/>
          <w:szCs w:val="28"/>
        </w:rPr>
        <w:t xml:space="preserve">струкція внутрішньої системи опалення котельні по вул. Гімназійна 1 А в м. Мена Чернігівської області з улаштуванням блочно-модульної твердопаливної котельні БМК-1200 для використання її в якості резервної (аварійної)» був відібраний до фінансування за рах</w:t>
      </w:r>
      <w:r>
        <w:rPr>
          <w:color w:val="000000" w:themeColor="text1"/>
          <w:sz w:val="28"/>
          <w:szCs w:val="28"/>
        </w:rPr>
        <w:t xml:space="preserve">унок </w:t>
      </w:r>
      <w:r>
        <w:rPr>
          <w:color w:val="000000" w:themeColor="text1"/>
          <w:sz w:val="28"/>
          <w:szCs w:val="28"/>
        </w:rPr>
        <w:t xml:space="preserve">субвенції з державного бюджету місцевим бюджетам на реалізацію проєктів в рамках Програми відновлення України ІІІ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0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Одни</w:t>
      </w:r>
      <w:r>
        <w:rPr>
          <w:color w:val="000000" w:themeColor="text1"/>
          <w:sz w:val="28"/>
          <w:szCs w:val="28"/>
        </w:rPr>
        <w:t xml:space="preserve">м з основних завдань на найближчу перспективу є відновлення роботи міських очисних споруд. На даний час Менською міською радою затве</w:t>
      </w:r>
      <w:r>
        <w:rPr>
          <w:color w:val="000000" w:themeColor="text1"/>
          <w:sz w:val="28"/>
          <w:szCs w:val="28"/>
        </w:rPr>
        <w:t xml:space="preserve">рджена проєктно-кошторисної документації по робочому проєкту «Реконструкція очисних споруд в м. Мена Чернігівської області». Орієнтовна вартість робіт по їх відновленню складає 23,5 млн. грн. Проєкт «Реконструкція комплексу очисних споруд м.Мена, який розт</w:t>
      </w:r>
      <w:r>
        <w:rPr>
          <w:color w:val="000000" w:themeColor="text1"/>
          <w:sz w:val="28"/>
          <w:szCs w:val="28"/>
        </w:rPr>
        <w:t xml:space="preserve">ашований за межами міста Мена, Менської міської територіальної громади, Корюківського району, Чернігівської області», був поданий на фінансування в рамках програми «Відновлення України ІІІ» </w:t>
      </w:r>
      <w:r>
        <w:rPr>
          <w:color w:val="000000" w:themeColor="text1"/>
          <w:sz w:val="28"/>
          <w:szCs w:val="28"/>
        </w:rPr>
        <w:t xml:space="preserve">(Україна – ЄІБ) через платформу DREAM. Незважаючи на відповідність</w:t>
      </w:r>
      <w:r>
        <w:rPr>
          <w:color w:val="000000" w:themeColor="text1"/>
          <w:sz w:val="28"/>
          <w:szCs w:val="28"/>
        </w:rPr>
        <w:t xml:space="preserve"> умовам відбору, цей проєкт не був підтриманий відбірковою комісією.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0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Не</w:t>
      </w:r>
      <w:r>
        <w:rPr>
          <w:color w:val="000000" w:themeColor="text1"/>
          <w:sz w:val="28"/>
          <w:szCs w:val="28"/>
        </w:rPr>
        <w:t xml:space="preserve">зважаючи на відповідність усім формальним критеріям відбору, проєкт не був підтриманий відбірковою комісією, і фінансування наразі не отримано.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0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Розроблений детальний план території пі</w:t>
      </w:r>
      <w:r>
        <w:rPr>
          <w:color w:val="000000" w:themeColor="text1"/>
          <w:sz w:val="28"/>
          <w:szCs w:val="28"/>
        </w:rPr>
        <w:t xml:space="preserve">д експлуатацію очисних споруд. В 2025 році планується замовлення проектно-кошторисної документації для реконструкції очисних споруд в с-щі Макошине.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0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Наразі на стадії виготовлення проєктно-кошторисна документація по об’єктам: «Реконструкція каналізаційної м</w:t>
      </w:r>
      <w:r>
        <w:rPr>
          <w:color w:val="000000" w:themeColor="text1"/>
          <w:sz w:val="28"/>
          <w:szCs w:val="28"/>
        </w:rPr>
        <w:t xml:space="preserve">ережі від будинку №2 до будинку №6 по вул. Корольова в м. Мена, Чернігівської області» та «Реконструкція каналізаційної мережі від будинку №6 ПО ВУЛ. Корольова до вулиці Героїв АТО в м. Мена. Чернігівської області».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0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Розроблено та затверджено «Індивідуальни</w:t>
      </w:r>
      <w:r>
        <w:rPr>
          <w:color w:val="000000" w:themeColor="text1"/>
          <w:sz w:val="28"/>
          <w:szCs w:val="28"/>
        </w:rPr>
        <w:t xml:space="preserve">й план управління біовідходами Менської міської територіальної громади на 2025-2028 роки». Згідно якого на території громади буде встановлено 10 секцій дерев’яних компостерів. Заклади громади: Менський ОЗЗСО І-ІІІ ст. ім. Т. Г. Шевченка - 3 компостери; </w:t>
      </w:r>
      <w:r>
        <w:rPr>
          <w:color w:val="000000" w:themeColor="text1"/>
          <w:sz w:val="28"/>
          <w:szCs w:val="28"/>
        </w:rPr>
        <w:t xml:space="preserve">ОЗ Менська гімназія - 3 компостери; ЗДО "Дитяча академія" - 2 компостери; КНП "Менська міська лікарня" - 2 компостери </w:t>
      </w:r>
      <w:r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зможуть використовувати їх для збирання органічних відходів та отримання компосту для власних потреб.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0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Менсь</w:t>
      </w:r>
      <w:r>
        <w:rPr>
          <w:color w:val="000000" w:themeColor="text1"/>
          <w:sz w:val="28"/>
          <w:szCs w:val="28"/>
        </w:rPr>
        <w:t xml:space="preserve">кій міській раді діє ко</w:t>
      </w:r>
      <w:r>
        <w:rPr>
          <w:color w:val="000000" w:themeColor="text1"/>
          <w:sz w:val="28"/>
          <w:szCs w:val="28"/>
        </w:rPr>
        <w:t xml:space="preserve">мунальне підприємство КП «Менакомунпослуга», яке надає послуги з вивезення твердих та рідких побутових відходів по місту та населеним пунктам громади, благоустрою, послуги лазні, обслуговування систем вуличного освітлення громади. Для ефективної роботи ком</w:t>
      </w:r>
      <w:r>
        <w:rPr>
          <w:color w:val="000000" w:themeColor="text1"/>
          <w:sz w:val="28"/>
          <w:szCs w:val="28"/>
        </w:rPr>
        <w:t xml:space="preserve">унального підприємства КП «Менакомунпослуга» закуплено два щепорізи вартістю 70 тис. грн. за кошти міського бюджету. Також, нагальними потребами підприємства є необхідність оновлення техніки та забезпечення закупівлі обладнання для наявної техніки.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0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Затвер</w:t>
      </w:r>
      <w:r>
        <w:rPr>
          <w:color w:val="000000" w:themeColor="text1"/>
          <w:sz w:val="28"/>
          <w:szCs w:val="28"/>
        </w:rPr>
        <w:t xml:space="preserve">джено стратегічний документ місцевого енергетичного плану. Головним</w:t>
      </w:r>
      <w:r>
        <w:rPr>
          <w:color w:val="000000" w:themeColor="text1"/>
          <w:sz w:val="28"/>
          <w:szCs w:val="28"/>
        </w:rPr>
        <w:t xml:space="preserve">и</w:t>
      </w:r>
      <w:r>
        <w:rPr>
          <w:color w:val="000000" w:themeColor="text1"/>
          <w:sz w:val="28"/>
          <w:szCs w:val="28"/>
        </w:rPr>
        <w:t xml:space="preserve"> цілями якого є: підвищення енергоефективності та розвиток відновлювальних джерел енергії. На основі енергетичного плану буде розроблену цільову програму де будуть включені всі енергоефе</w:t>
      </w:r>
      <w:r>
        <w:rPr>
          <w:color w:val="000000" w:themeColor="text1"/>
          <w:sz w:val="28"/>
          <w:szCs w:val="28"/>
        </w:rPr>
        <w:t xml:space="preserve">ктивні заходи по об’єктам комунальної власності в громаді.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firstLine="709"/>
        <w:jc w:val="center"/>
        <w:rPr>
          <w:b/>
          <w:bCs/>
          <w:color w:val="000000" w:themeColor="text1"/>
          <w:sz w:val="14"/>
          <w:szCs w:val="14"/>
          <w14:ligatures w14:val="none"/>
        </w:rPr>
      </w:pPr>
      <w:r>
        <w:rPr>
          <w:b/>
          <w:bCs/>
          <w:color w:val="000000" w:themeColor="text1"/>
          <w:sz w:val="14"/>
          <w:szCs w:val="14"/>
        </w:rPr>
      </w:r>
      <w:r>
        <w:rPr>
          <w:b/>
          <w:bCs/>
          <w:color w:val="000000" w:themeColor="text1"/>
          <w:sz w:val="14"/>
          <w:szCs w:val="14"/>
          <w14:ligatures w14:val="none"/>
        </w:rPr>
      </w:r>
      <w:r>
        <w:rPr>
          <w:b/>
          <w:bCs/>
          <w:color w:val="000000" w:themeColor="text1"/>
          <w:sz w:val="14"/>
          <w:szCs w:val="14"/>
          <w14:ligatures w14:val="no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Архітектура та містобудування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0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На баланс</w:t>
      </w:r>
      <w:r>
        <w:rPr>
          <w:color w:val="000000" w:themeColor="text1"/>
          <w:sz w:val="28"/>
          <w:szCs w:val="28"/>
        </w:rPr>
        <w:t xml:space="preserve">і міської, селищної та сільських рад громади знаходиться 375,626 км дорожніх мереж. На даний час у населених пунктах громади значна кількість доріг з асфальтовим покриттям потребують проведення капітального ремонту.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0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З метою забезпечення належного </w:t>
      </w:r>
      <w:r>
        <w:rPr>
          <w:color w:val="000000" w:themeColor="text1"/>
          <w:sz w:val="28"/>
          <w:szCs w:val="28"/>
        </w:rPr>
        <w:t xml:space="preserve">стану автомобільних доріг комунальної власності станом на 01.07.2025 здійснено виконання завдань, визначених Програмою фінансування робіт з будівництва, реконструкції, ремонту та утримання автомобільних доріг комунальної власності Менської міської </w:t>
      </w:r>
      <w:r>
        <w:rPr>
          <w:color w:val="000000" w:themeColor="text1"/>
          <w:sz w:val="28"/>
          <w:szCs w:val="28"/>
        </w:rPr>
        <w:t xml:space="preserve">територі</w:t>
      </w:r>
      <w:r>
        <w:rPr>
          <w:color w:val="000000" w:themeColor="text1"/>
          <w:sz w:val="28"/>
          <w:szCs w:val="28"/>
        </w:rPr>
        <w:t xml:space="preserve">альної громади на 2025-2027 роки, затвердженої рішенням 56 сесії Менської міської ради 8 скликання від 19 грудня 2024 року № 733.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0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Виконано поточний дрібний та ямковий ремонт вулиць Михайла Грушевського, Левка Симиренка, Гетьмана Мазепи, Троїцька, Шевченка,</w:t>
      </w:r>
      <w:r>
        <w:rPr>
          <w:color w:val="000000" w:themeColor="text1"/>
          <w:sz w:val="28"/>
          <w:szCs w:val="28"/>
        </w:rPr>
        <w:t xml:space="preserve"> Садова, Вокзальна, Приозерна, Ринкова, Північна в м. Мена та вулиці Пархоменка в с. Волосківці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0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Придбано 14 дорожніх знаків для заміни зіпсованих.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0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Проводяться роботи по проекту «Р</w:t>
      </w:r>
      <w:r>
        <w:rPr>
          <w:color w:val="000000" w:themeColor="text1"/>
          <w:sz w:val="28"/>
          <w:szCs w:val="28"/>
        </w:rPr>
        <w:t xml:space="preserve">еконструкція нежитлової будівлі з розміщенням Центру надання адміністративн</w:t>
      </w:r>
      <w:r>
        <w:rPr>
          <w:color w:val="000000" w:themeColor="text1"/>
          <w:sz w:val="28"/>
          <w:szCs w:val="28"/>
        </w:rPr>
        <w:t xml:space="preserve">их послуг по вул. Героїв АТО, 9 в м. Мена Чернігівської області (коригування 3). Із отриманих коштів з державної субвенції в сумі 10958,546 тис. грн. На </w:t>
      </w:r>
      <w:r>
        <w:rPr>
          <w:color w:val="000000" w:themeColor="text1"/>
          <w:sz w:val="28"/>
          <w:szCs w:val="28"/>
        </w:rPr>
        <w:t xml:space="preserve">1.07.</w:t>
      </w:r>
      <w:r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 xml:space="preserve">5</w:t>
      </w:r>
      <w:r>
        <w:rPr>
          <w:color w:val="000000" w:themeColor="text1"/>
          <w:sz w:val="28"/>
          <w:szCs w:val="28"/>
        </w:rPr>
        <w:t xml:space="preserve"> року використано </w:t>
      </w:r>
      <w:r>
        <w:rPr>
          <w:color w:val="000000" w:themeColor="text1"/>
          <w:sz w:val="28"/>
          <w:szCs w:val="28"/>
        </w:rPr>
        <w:t xml:space="preserve">8665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185</w:t>
      </w:r>
      <w:r>
        <w:rPr>
          <w:color w:val="000000" w:themeColor="text1"/>
          <w:sz w:val="28"/>
          <w:szCs w:val="28"/>
        </w:rPr>
        <w:t xml:space="preserve"> тис. грн. коштів субвенції та </w:t>
      </w:r>
      <w:r>
        <w:rPr>
          <w:color w:val="000000" w:themeColor="text1"/>
          <w:sz w:val="28"/>
          <w:szCs w:val="28"/>
        </w:rPr>
        <w:t xml:space="preserve">3587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36</w:t>
      </w:r>
      <w:r>
        <w:rPr>
          <w:color w:val="000000" w:themeColor="text1"/>
          <w:sz w:val="28"/>
          <w:szCs w:val="28"/>
        </w:rPr>
        <w:t xml:space="preserve"> тис. грн. коштів міського бю</w:t>
      </w:r>
      <w:r>
        <w:rPr>
          <w:color w:val="000000" w:themeColor="text1"/>
          <w:sz w:val="28"/>
          <w:szCs w:val="28"/>
        </w:rPr>
        <w:t xml:space="preserve">джету. Проведено роботи по утепленню фасаду, заміни вікон та дверей, опалення, внутрішні роботи по ремонту 2-го поверху. Наразі тривають роботи по облаштуванню прилеглої території.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0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bookmarkStart w:id="2" w:name="_heading=h.hpzsff1uscp3"/>
      <w:r>
        <w:rPr>
          <w:color w:val="000000" w:themeColor="text1"/>
          <w:sz w:val="28"/>
          <w:szCs w:val="28"/>
        </w:rPr>
      </w:r>
      <w:bookmarkEnd w:id="2"/>
      <w:r>
        <w:rPr>
          <w:color w:val="000000" w:themeColor="text1"/>
          <w:sz w:val="28"/>
          <w:szCs w:val="28"/>
        </w:rPr>
        <w:t xml:space="preserve">Відповідно до рішення 60 сесії Менської міської ради 8 скликання від 24 кві</w:t>
      </w:r>
      <w:r>
        <w:rPr>
          <w:color w:val="000000" w:themeColor="text1"/>
          <w:sz w:val="28"/>
          <w:szCs w:val="28"/>
        </w:rPr>
        <w:t xml:space="preserve">тня 2025 року № 235 розпочато роботи з розроблення детального плану території земельної ділянки кадастровий номер 7423084501:01:001:0722 загальною площе</w:t>
      </w:r>
      <w:r>
        <w:rPr>
          <w:color w:val="000000" w:themeColor="text1"/>
          <w:sz w:val="28"/>
          <w:szCs w:val="28"/>
        </w:rPr>
        <w:t xml:space="preserve">ю 1,2731 га для будівництва зерносушильного комплексу за адресою: вул. Молодіжна, 31, с. Киселівка, Корю</w:t>
      </w:r>
      <w:r>
        <w:rPr>
          <w:color w:val="000000" w:themeColor="text1"/>
          <w:sz w:val="28"/>
          <w:szCs w:val="28"/>
        </w:rPr>
        <w:t xml:space="preserve">ківського району, Чернігівської області. Замовником Детального плану території виступає Менська міська рада, платник робіт - ТОВ «АГРОРЕСУРС-2006».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firstLine="709"/>
        <w:jc w:val="center"/>
        <w:rPr>
          <w:b/>
          <w:bCs/>
          <w:color w:val="000000" w:themeColor="text1"/>
          <w:sz w:val="14"/>
          <w:szCs w:val="14"/>
          <w14:ligatures w14:val="none"/>
        </w:rPr>
      </w:pPr>
      <w:r>
        <w:rPr>
          <w:b/>
          <w:bCs/>
          <w:color w:val="000000" w:themeColor="text1"/>
          <w:sz w:val="14"/>
          <w:szCs w:val="14"/>
        </w:rPr>
      </w:r>
      <w:r>
        <w:rPr>
          <w:b/>
          <w:bCs/>
          <w:color w:val="000000" w:themeColor="text1"/>
          <w:sz w:val="14"/>
          <w:szCs w:val="14"/>
          <w14:ligatures w14:val="none"/>
        </w:rPr>
      </w:r>
      <w:r>
        <w:rPr>
          <w:b/>
          <w:bCs/>
          <w:color w:val="000000" w:themeColor="text1"/>
          <w:sz w:val="14"/>
          <w:szCs w:val="14"/>
          <w14:ligatures w14:val="none"/>
        </w:rPr>
      </w:r>
    </w:p>
    <w:p>
      <w:pPr>
        <w:pBdr/>
        <w:spacing w:after="0" w:afterAutospacing="0" w:before="0" w:beforeAutospacing="0" w:line="240" w:lineRule="auto"/>
        <w:ind w:left="36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Розвиток освіти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 w:firstLine="570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Наразі на в підпорядкуванні Відділу освіти Менської міської ради перебуває 29 закладів освіти комунальної форми власності, з них: 11 закладів загальної середньої освіти зі статусом юридичної особи та 1 філія І-ІІ ступенів у складі Опорного закладу Менська </w:t>
      </w:r>
      <w:r>
        <w:rPr>
          <w:color w:val="000000" w:themeColor="text1"/>
          <w:sz w:val="28"/>
          <w:szCs w:val="28"/>
        </w:rPr>
        <w:t xml:space="preserve">гімназія, в яких отримує загальну середню освіту 2248 учнів (місто-1385, село-863), 13 закладів дошкільної освіти та 1 дошкільний структурний підрозділ у складі Волосківської гімназії (в яких виховується 471 дитина, з них в місті - 243, селі - 228), 4 закл</w:t>
      </w:r>
      <w:r>
        <w:rPr>
          <w:color w:val="000000" w:themeColor="text1"/>
          <w:sz w:val="28"/>
          <w:szCs w:val="28"/>
        </w:rPr>
        <w:t xml:space="preserve">ади позашкільної освіти, Степанівський МНВК та Менський ІРЦ. </w:t>
      </w:r>
      <w:r>
        <w:rPr>
          <w:i/>
          <w:color w:val="000000" w:themeColor="text1"/>
          <w:sz w:val="28"/>
          <w:szCs w:val="28"/>
        </w:rPr>
      </w:r>
      <w:r>
        <w:rPr>
          <w:i/>
          <w:color w:val="000000" w:themeColor="text1"/>
          <w:sz w:val="28"/>
          <w:szCs w:val="28"/>
        </w:rPr>
      </w:r>
    </w:p>
    <w:p>
      <w:pPr>
        <w:pBdr/>
        <w:tabs>
          <w:tab w:val="left" w:leader="none" w:pos="0"/>
        </w:tabs>
        <w:spacing w:after="0" w:afterAutospacing="0" w:before="0" w:beforeAutospacing="0" w:line="240" w:lineRule="auto"/>
        <w:ind w:firstLine="5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даний час продовжує залишатися нагальною потребою будівництво власного протирадіаційного укриття (на 500 місць) для Менського опорного закладу загальної середньої освіти І-ІІІ ступенів ім. Т.</w:t>
      </w:r>
      <w:r>
        <w:rPr>
          <w:color w:val="000000" w:themeColor="text1"/>
          <w:sz w:val="28"/>
          <w:szCs w:val="28"/>
        </w:rPr>
        <w:t xml:space="preserve">Г.Шевченка (в закладі освіти навчається 792 учні; заклад має 2 власні ПРУ, що розраховані сумарно на 330 місць та використовує ПРУ іншої організації). Проведено коригування ПКД, вартість робіт по будівництву ПРУ становить 95341,056 тис. грн..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tabs>
          <w:tab w:val="left" w:leader="none" w:pos="0"/>
        </w:tabs>
        <w:spacing w:after="0" w:afterAutospacing="0" w:before="0" w:beforeAutospacing="0" w:line="240" w:lineRule="auto"/>
        <w:ind w:firstLine="5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На виконанн</w:t>
      </w:r>
      <w:r>
        <w:rPr>
          <w:color w:val="000000" w:themeColor="text1"/>
          <w:sz w:val="28"/>
          <w:szCs w:val="28"/>
        </w:rPr>
        <w:t xml:space="preserve">я пункту 5 постанови Кабінету Міністрів України від 13 серпня 2024 року №926 Відділом освіти Менської міської ради надано пропозиції до Корюківської РВА щодо включення даного об’єкту та ряду інших закладів освіти до «Плану заходів щодо будівництва та облаш</w:t>
      </w:r>
      <w:r>
        <w:rPr>
          <w:color w:val="000000" w:themeColor="text1"/>
          <w:sz w:val="28"/>
          <w:szCs w:val="28"/>
        </w:rPr>
        <w:t xml:space="preserve">тування захисних споруд цивільного заходу, споруд подвійного призначення та відновлення </w:t>
      </w:r>
      <w:r>
        <w:rPr>
          <w:color w:val="000000" w:themeColor="text1"/>
          <w:sz w:val="28"/>
          <w:szCs w:val="28"/>
        </w:rPr>
        <w:t xml:space="preserve">пошкоджених (зруйнованих) об’єктів фонду захисних споруд цивільного захисту закладів освіти Корюківського району Чернігівської області до кінця 2027 року».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tabs>
          <w:tab w:val="left" w:leader="none" w:pos="0"/>
        </w:tabs>
        <w:spacing w:after="0" w:afterAutospacing="0" w:before="0" w:beforeAutospacing="0" w:line="240" w:lineRule="auto"/>
        <w:ind w:firstLine="5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Крім цього </w:t>
      </w:r>
      <w:r>
        <w:rPr>
          <w:color w:val="000000" w:themeColor="text1"/>
          <w:sz w:val="28"/>
          <w:szCs w:val="28"/>
        </w:rPr>
        <w:t xml:space="preserve">для 6 закладів освіти вкрай потрібно придбати «Швидкоспоруджувальні захисні споруди цивільного захисту модульного типу» - 3 ЗДО, 3 ЗЗСО), на які в цінах на вересень 2024 року потрібні кошти в сумі 20700 млн. грн. та провести капітальний ремонт найпростішог</w:t>
      </w:r>
      <w:r>
        <w:rPr>
          <w:color w:val="000000" w:themeColor="text1"/>
          <w:sz w:val="28"/>
          <w:szCs w:val="28"/>
        </w:rPr>
        <w:t xml:space="preserve">о укриття в Менському ЗДО (ясла - садок) «Дитяча академія» комбінованого типу Менської міської ради.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 w:firstLine="5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Кошти місцевого бюджету спрямовуються на покращення безпекових умов та доступності укриттів для маломобільних груп в протирадіаційних укриттях міських закл</w:t>
      </w:r>
      <w:r>
        <w:rPr>
          <w:color w:val="000000" w:themeColor="text1"/>
          <w:sz w:val="28"/>
          <w:szCs w:val="28"/>
        </w:rPr>
        <w:t xml:space="preserve">адів загальної середньої освіти: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1"/>
        </w:numPr>
        <w:pBdr/>
        <w:spacing w:after="0" w:afterAutospacing="0" w:before="0" w:beforeAutospacing="0" w:line="240" w:lineRule="auto"/>
        <w:ind w:right="101" w:firstLine="570"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облаштування протипожежної сигналізації в укриттях для Опорного закладу Менська гімназія Менської міської ради виділено 420,371 тис. грн (роботи завершені);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1"/>
        </w:numPr>
        <w:pBdr/>
        <w:spacing w:after="0" w:afterAutospacing="0" w:before="0" w:beforeAutospacing="0" w:line="240" w:lineRule="auto"/>
        <w:ind w:right="101" w:firstLine="570"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облаштування протипожежної сигналізації в укриттях для Мен</w:t>
      </w:r>
      <w:r>
        <w:rPr>
          <w:color w:val="000000" w:themeColor="text1"/>
          <w:sz w:val="28"/>
          <w:szCs w:val="28"/>
        </w:rPr>
        <w:t xml:space="preserve">ського ОЗЗСО І-ІІІ ступенів ім. Т.Г. Шевченка Менської міської ради виділено 344,267 тис. грн (найближчим часом роботи розпочнуться).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 w:right="101" w:firstLine="5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виконання постанови Кабінету Міністрів України від 30 грудня 2024 року №1548 «Про реалізацію змін до постанови Кабінету</w:t>
      </w:r>
      <w:r>
        <w:rPr>
          <w:color w:val="000000" w:themeColor="text1"/>
          <w:sz w:val="28"/>
          <w:szCs w:val="28"/>
        </w:rPr>
        <w:t xml:space="preserve"> Міністрів України від 16 лютого 2022 року №120», яка спрямована на реалізацію публічного інвестиційного проекту на придбання обладнання, створення та модернізацію (проведення реконструкції та капітального ремонту) їдалень (харчоблоків) закладів освіти, на</w:t>
      </w:r>
      <w:r>
        <w:rPr>
          <w:color w:val="000000" w:themeColor="text1"/>
          <w:sz w:val="28"/>
          <w:szCs w:val="28"/>
        </w:rPr>
        <w:t xml:space="preserve"> конкурс публічних інвестиційних проектів подано ПКД на модернізацію харчоблока Менського опорного закладу загальної середньої освіти І-ІІІ ступенів ім. Т.Г.Шевченка Менської міської ради, який був відібраний експертною комісією для фінансування за рахунок</w:t>
      </w:r>
      <w:r>
        <w:rPr>
          <w:color w:val="000000" w:themeColor="text1"/>
          <w:sz w:val="28"/>
          <w:szCs w:val="28"/>
        </w:rPr>
        <w:t xml:space="preserve"> субвенції та співфінансування з місцевого бюджету. Загальна вартість проекту складає 12173,658 тис. грн, з них субвенція з державного бюджету місцевим бюджетам – 10707,2 тис. грн., решта співфінансування місцевого бюджету. Реалізація проекту запланована </w:t>
      </w:r>
      <w:r>
        <w:rPr>
          <w:color w:val="000000" w:themeColor="text1"/>
          <w:sz w:val="28"/>
          <w:szCs w:val="28"/>
        </w:rPr>
        <w:t xml:space="preserve">до кінця року;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 w:right="101" w:firstLine="5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Відділом освіти спільно з Опорним закладом Менська гімназія підготовлено проектну заявку для участі у відборі проекту для фінансування за рахунок субвенції з державного бюджету місцевим бюджетам в частині створення сучасного освітнього прост</w:t>
      </w:r>
      <w:r>
        <w:rPr>
          <w:color w:val="000000" w:themeColor="text1"/>
          <w:sz w:val="28"/>
          <w:szCs w:val="28"/>
        </w:rPr>
        <w:t xml:space="preserve">ору, а саме на закупівлю засобів навчання та обладнання, меблів для навчальних кабінетів біології, географії, математики, фізики, хімії, STEM-лабораторії. Дана заявка відібрана експертною комісією для фінансування. Загальна сума коштів, що планується на ре</w:t>
      </w:r>
      <w:r>
        <w:rPr>
          <w:color w:val="000000" w:themeColor="text1"/>
          <w:sz w:val="28"/>
          <w:szCs w:val="28"/>
        </w:rPr>
        <w:t xml:space="preserve">алізацію даного проекту 4 970 146 грн  (в т.ч. співфінансування з місцевого бюджету 745 523 грн. Вимогою реалізації даного проекту є створення є проведення поточного чи капітального ремонту приміщення, де буде розміщено сучасний освітній простір за рахуно</w:t>
      </w:r>
      <w:r>
        <w:rPr>
          <w:color w:val="000000" w:themeColor="text1"/>
          <w:sz w:val="28"/>
          <w:szCs w:val="28"/>
        </w:rPr>
        <w:t xml:space="preserve">к коштів місцевого бюджету, а тому з місцевого бюджету на дані види робіт спрямовано 2,7 млн. грн. Найближчим часом роботи та закупівлі засобів навчання та обладнання будуть проведені.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 w:right="242" w:firstLine="5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кошти місцевого бюджету буде проведено капітальний ремонт покрівлі приміщення, де розміщено освітній осередок «Захист України» в Опорному закладі Менська гімназія (кошти сумі 856 000 грн вже виділені);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 w:right="242" w:firstLine="5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Заклади освіти беруть активну участь в різних про</w:t>
      </w:r>
      <w:r>
        <w:rPr>
          <w:color w:val="000000" w:themeColor="text1"/>
          <w:sz w:val="28"/>
          <w:szCs w:val="28"/>
        </w:rPr>
        <w:t xml:space="preserve">ектах та отримують допомогу від різних Благодійних фондів: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 w:right="242" w:firstLine="5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від Дитячого Фонду ООН (Юнісеф) 8 шкіл громади отримали меблі на загальну суму 4 232 063,2 грн;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 w:right="242" w:firstLine="5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 Опорному закладі Менська гімназія завдяки підтримці уряду Франції встановлені фотоелектричні п</w:t>
      </w:r>
      <w:r>
        <w:rPr>
          <w:color w:val="000000" w:themeColor="text1"/>
          <w:sz w:val="28"/>
          <w:szCs w:val="28"/>
        </w:rPr>
        <w:t xml:space="preserve">анелі (сонячні панелі) на загальну суму 1 202 742,05 грн;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 w:right="242" w:firstLine="5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від уряду Бельгії надійшло 2 потужні генератори (10; 12,5 кВт) для Дягівського та Синявського ЗЗСО;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 w:right="242" w:firstLine="5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Менський ОЗЗСО І-ІІІ ступенів ім. Т.Г.Шевченка Менської міської ради отримав зарядну станцію «</w:t>
      </w:r>
      <w:r>
        <w:rPr>
          <w:color w:val="000000" w:themeColor="text1"/>
          <w:sz w:val="28"/>
          <w:szCs w:val="28"/>
        </w:rPr>
        <w:t xml:space="preserve">Тесла», яка встановлена коштом місцевого бюджету (80 тис. грн.);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 w:right="242" w:firstLine="5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Стольненський ЗЗСО І-ІІІ ступенів отримав допомогу від Публічно-правової компанії соціальної спрямованості «Енебель» (обладнання для харчоблоку) на суму 166,134 тис. грн.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 w:firstLine="709"/>
        <w:jc w:val="center"/>
        <w:rPr>
          <w:b/>
          <w:color w:val="000000" w:themeColor="text1"/>
          <w:sz w:val="14"/>
          <w:szCs w:val="14"/>
        </w:rPr>
      </w:pPr>
      <w:r>
        <w:rPr>
          <w:b/>
          <w:color w:val="000000" w:themeColor="text1"/>
          <w:sz w:val="14"/>
          <w:szCs w:val="14"/>
        </w:rPr>
      </w:r>
      <w:r>
        <w:rPr>
          <w:b/>
          <w:color w:val="000000" w:themeColor="text1"/>
          <w:sz w:val="14"/>
          <w:szCs w:val="14"/>
        </w:rPr>
      </w:r>
      <w:r>
        <w:rPr>
          <w:b/>
          <w:color w:val="000000" w:themeColor="text1"/>
          <w:sz w:val="14"/>
          <w:szCs w:val="14"/>
        </w:rPr>
      </w:r>
    </w:p>
    <w:p>
      <w:pPr>
        <w:pBdr/>
        <w:spacing w:after="0" w:afterAutospacing="0" w:before="0" w:beforeAutospacing="0" w:line="24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Охорона здоров’</w:t>
      </w:r>
      <w:r>
        <w:rPr>
          <w:b/>
          <w:color w:val="000000" w:themeColor="text1"/>
          <w:sz w:val="28"/>
          <w:szCs w:val="28"/>
        </w:rPr>
        <w:t xml:space="preserve">я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firstLine="5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Протягом 6 місяців 2025 року КНП «Менська міська лікарня» працювала стабільно та</w:t>
      </w:r>
      <w:r>
        <w:rPr>
          <w:color w:val="000000" w:themeColor="text1"/>
          <w:sz w:val="28"/>
          <w:szCs w:val="28"/>
        </w:rPr>
        <w:t xml:space="preserve"> забезпечувала необхідною спеціалізованою медичною допомогою населення Менської територіальної громади, а також жителів Сосницької, Коропської, Понорницької громад, ВПО, війс</w:t>
      </w:r>
      <w:r>
        <w:rPr>
          <w:color w:val="000000" w:themeColor="text1"/>
          <w:sz w:val="28"/>
          <w:szCs w:val="28"/>
        </w:rPr>
        <w:t xml:space="preserve">ьковослужбовців, тощо.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2025 рік підприємство заключило Договір з НСЗУ по 18 пакетах медичних послуг за ПМГ.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hd w:val="clear" w:color="auto" w:fill="ffffff"/>
        <w:spacing w:after="0" w:afterAutospacing="0" w:before="0" w:beforeAutospacing="0" w:line="240" w:lineRule="auto"/>
        <w:ind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Фінансування КНП «Менська міська лікарня» в 2025 році проводилося за рахунок коштів Національної служби здоров’я України, коштів міського бюджету та коштів, отриманих з інших джерел позабюджетних надходжень.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firstLine="5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Оплата від НСЗУ за надані медичні послуги за про</w:t>
      </w:r>
      <w:r>
        <w:rPr>
          <w:color w:val="000000" w:themeColor="text1"/>
          <w:sz w:val="28"/>
          <w:szCs w:val="28"/>
        </w:rPr>
        <w:t xml:space="preserve">грамою медичних гарантій є основним джерелом доходу КНП «Менська міська лікарня», яке складає 76 % від всіх доходів.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firstLine="5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звітний період заклад отримав благодійну допомоги: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аналізатор гемоглобіну - благодійна допомога ТОВ "ОКІРА", 18458грн.;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4"/>
        </w:numPr>
        <w:pBdr/>
        <w:spacing w:after="0" w:afterAutospacing="0" w:before="0" w:beforeAutospacing="0" w:line="240" w:lineRule="auto"/>
        <w:ind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підйомник для х</w:t>
      </w:r>
      <w:r>
        <w:rPr>
          <w:color w:val="000000" w:themeColor="text1"/>
          <w:sz w:val="28"/>
          <w:szCs w:val="28"/>
        </w:rPr>
        <w:t xml:space="preserve">ворих - благодійний фонд "Паляниця України", 12500грн.;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4"/>
        </w:numPr>
        <w:pBdr/>
        <w:spacing w:after="0" w:afterAutospacing="0" w:before="0" w:beforeAutospacing="0" w:line="240" w:lineRule="auto"/>
        <w:ind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Тринокулярний мікроскоп Micro med - Європейське регіональне бюро ВООЗ, 137940 грн.;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4"/>
        </w:numPr>
        <w:pBdr/>
        <w:spacing w:after="0" w:afterAutospacing="0" w:before="0" w:beforeAutospacing="0" w:line="240" w:lineRule="auto"/>
        <w:ind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Аналізатор біохімічний автоматичний BS-240 - Європейське регіональне бюро, 677654грн.;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4"/>
        </w:numPr>
        <w:pBdr/>
        <w:spacing w:after="0" w:afterAutospacing="0" w:before="0" w:beforeAutospacing="0" w:line="240" w:lineRule="auto"/>
        <w:ind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Ендоскопічна система - за кош</w:t>
      </w:r>
      <w:r>
        <w:rPr>
          <w:color w:val="000000" w:themeColor="text1"/>
          <w:sz w:val="28"/>
          <w:szCs w:val="28"/>
        </w:rPr>
        <w:t xml:space="preserve">ти міського бюджету, 2 966 881грн.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tabs>
          <w:tab w:val="left" w:leader="none" w:pos="993"/>
        </w:tabs>
        <w:spacing w:after="0" w:afterAutospacing="0" w:before="0" w:beforeAutospacing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жовтні 2024 року за рахунок коштів Благодійної організації «Благодійний фонд «Репавер Юкрейн Фаундейшн» в сумі 1401,2 тис.грн. та співфінансування з </w:t>
      </w:r>
      <w:r>
        <w:rPr>
          <w:color w:val="000000" w:themeColor="text1"/>
          <w:sz w:val="28"/>
          <w:szCs w:val="28"/>
        </w:rPr>
        <w:t xml:space="preserve">місцевого бюджету в розмірі 10% вартості в сумі 270,0 тис.грн. в лікар</w:t>
      </w:r>
      <w:r>
        <w:rPr>
          <w:color w:val="000000" w:themeColor="text1"/>
          <w:sz w:val="28"/>
          <w:szCs w:val="28"/>
        </w:rPr>
        <w:t xml:space="preserve">ні встановлено сонячну електростанцію.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tabs>
          <w:tab w:val="left" w:leader="none" w:pos="993"/>
        </w:tabs>
        <w:spacing w:after="0" w:afterAutospacing="0" w:before="0" w:beforeAutospacing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Це дало змогу значно зменшити споживання електроенергії.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tabs>
          <w:tab w:val="left" w:leader="none" w:pos="993"/>
        </w:tabs>
        <w:spacing w:after="0" w:afterAutospacing="0" w:before="0" w:beforeAutospacing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За 1 квартал 2025 року в порівнянні з аналогічним періодом 2024 року споживання електроенергії зменшилося на 59,7 тис.кВт. Економія коштів по цінах станом н</w:t>
      </w:r>
      <w:r>
        <w:rPr>
          <w:color w:val="000000" w:themeColor="text1"/>
          <w:sz w:val="28"/>
          <w:szCs w:val="28"/>
        </w:rPr>
        <w:t xml:space="preserve">а 01.07.2025 року складає 558,6 тис.грн.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widowControl w:val="false"/>
        <w:pBdr/>
        <w:spacing w:after="0" w:afterAutospacing="0" w:before="0" w:beforeAutospacing="0" w:line="240" w:lineRule="auto"/>
        <w:ind w:firstLine="570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Комунальне некомерційне підприємство «Менський центр ПМСД» обслуговує населення Менської міської територіальної громади та Березнянської територіальної громади.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40" w:lineRule="auto"/>
        <w:ind w:firstLine="5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Загальна кількість структурних підрозділів – 5 амбулаторій. На території Менської ТГ розміщено 4 амбулаторії. Первинна медична допомога надається в МПТБ, створених взамін ФАП та ФП. На території Менської ТГ створено 19 МПТБ, Березнянської ТГ – 3. </w:t>
      </w:r>
      <w:r>
        <w:rPr>
          <w:color w:val="000000" w:themeColor="text1"/>
          <w:sz w:val="28"/>
          <w:szCs w:val="28"/>
        </w:rPr>
        <w:t xml:space="preserve">Заклад об</w:t>
      </w:r>
      <w:r>
        <w:rPr>
          <w:color w:val="000000" w:themeColor="text1"/>
          <w:sz w:val="28"/>
          <w:szCs w:val="28"/>
        </w:rPr>
        <w:t xml:space="preserve">слуговує жителів Менської та Березнянської ТГ. Кількість задекларованого населення безпосередньо у закладі – 27050 осіб, що становить 96%.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40" w:lineRule="auto"/>
        <w:ind w:firstLine="5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червні 2025 року з міського бюджету громади було виділено 3000 тис. грн на проєкт “Капітальний ремонт покрівлі даху</w:t>
      </w:r>
      <w:r>
        <w:rPr>
          <w:color w:val="000000" w:themeColor="text1"/>
          <w:sz w:val="28"/>
          <w:szCs w:val="28"/>
        </w:rPr>
        <w:t xml:space="preserve"> будівлі комерційного некомунального підприємства "Менський центр первинної медико-санітарної допомоги" Менської міської ради за адресою: вулиця Шевченка, 76, місто Мена Чернігівська область”. Роботи планується провести в серпні - вересні 2025 року.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40" w:lineRule="auto"/>
        <w:ind w:firstLine="5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зві</w:t>
      </w:r>
      <w:r>
        <w:rPr>
          <w:color w:val="000000" w:themeColor="text1"/>
          <w:sz w:val="28"/>
          <w:szCs w:val="28"/>
        </w:rPr>
        <w:t xml:space="preserve">тний період було отримано холодильник для вакцини від Unicef на суму 52930грн, ноутбуки 4шт та 3принтер від Представництва Міжнародного Медичного корпусу в Україні на суму 93943 грн, ноутбук та принтер від Medicos del Mundo на суму 34385 грн, а також заку</w:t>
      </w:r>
      <w:r>
        <w:rPr>
          <w:color w:val="000000" w:themeColor="text1"/>
          <w:sz w:val="28"/>
          <w:szCs w:val="28"/>
        </w:rPr>
        <w:t xml:space="preserve">плено кондиціонер та пральну машину за кошти НСЗУ на суму 38499 грн.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40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40" w:lineRule="auto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Соціальний захист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 xml:space="preserve">КУ «Менський міський центр соціальних служб» на умовах партнерства та підписаного Мем</w:t>
      </w:r>
      <w:r>
        <w:rPr>
          <w:color w:val="000000" w:themeColor="text1"/>
          <w:sz w:val="28"/>
          <w:szCs w:val="28"/>
        </w:rPr>
        <w:t xml:space="preserve">орандуму з Міжнародною організацією «</w:t>
      </w:r>
      <w:r>
        <w:rPr>
          <w:color w:val="000000" w:themeColor="text1"/>
          <w:sz w:val="28"/>
          <w:szCs w:val="28"/>
          <w:highlight w:val="white"/>
        </w:rPr>
        <w:t xml:space="preserve">Corus International</w:t>
      </w:r>
      <w:r>
        <w:rPr>
          <w:color w:val="000000" w:themeColor="text1"/>
          <w:sz w:val="28"/>
          <w:szCs w:val="28"/>
        </w:rPr>
        <w:t xml:space="preserve">» та </w:t>
      </w:r>
      <w:r>
        <w:rPr>
          <w:color w:val="000000" w:themeColor="text1"/>
          <w:sz w:val="28"/>
          <w:szCs w:val="28"/>
          <w:highlight w:val="white"/>
        </w:rPr>
        <w:t xml:space="preserve">МБФ «Українська фундація громадського здоров'я», з травня 2025 року продовжує другий рік реалізацію проєкту </w:t>
      </w:r>
      <w:r>
        <w:rPr>
          <w:color w:val="000000" w:themeColor="text1"/>
          <w:sz w:val="28"/>
          <w:szCs w:val="28"/>
          <w:highlight w:val="white"/>
        </w:rPr>
        <w:t xml:space="preserve">«</w:t>
      </w:r>
      <w:r>
        <w:rPr>
          <w:color w:val="000000" w:themeColor="text1"/>
          <w:sz w:val="28"/>
          <w:szCs w:val="28"/>
        </w:rPr>
        <w:t xml:space="preserve">Захистити її: Сприяння у створенні можливостей для життєстійкості та процвітання середовища - створення безпечних просторів у Харківській, Чернігі</w:t>
      </w:r>
      <w:r>
        <w:rPr>
          <w:color w:val="000000" w:themeColor="text1"/>
          <w:sz w:val="28"/>
          <w:szCs w:val="28"/>
        </w:rPr>
        <w:t xml:space="preserve">вській та Сумській областях</w:t>
      </w:r>
      <w:r>
        <w:rPr>
          <w:color w:val="000000" w:themeColor="text1"/>
          <w:sz w:val="28"/>
          <w:szCs w:val="28"/>
          <w:highlight w:val="white"/>
        </w:rPr>
        <w:t xml:space="preserve">», який передбачає надання соціально-правових послуг, таких як консультування, інформування, рекреаційні заняття, мобільні медичні послуги лікарів, заняття з української та англійської мови. Також проєктом в цьому році передбачен</w:t>
      </w:r>
      <w:r>
        <w:rPr>
          <w:color w:val="000000" w:themeColor="text1"/>
          <w:sz w:val="28"/>
          <w:szCs w:val="28"/>
          <w:highlight w:val="white"/>
        </w:rPr>
        <w:t xml:space="preserve">і виїзні заходи простору по населеним пунктам громади.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Відповідно до Меморандуму про взаєморозуміння та взаємодію між ЮНІСЕФ та Менською міською територіальною громадою, у нашій громаді реалізується проєкт «Мінімальний пакет інтегрованих соціальних послуг</w:t>
      </w:r>
      <w:r>
        <w:rPr>
          <w:color w:val="000000" w:themeColor="text1"/>
          <w:sz w:val="28"/>
          <w:szCs w:val="28"/>
        </w:rPr>
        <w:t xml:space="preserve"> для сімей із дітьми». Даний проєкт передбачає впровадженння нової соціальної послуги - денний догляд дітей з інвалідністю та підсилення існуючих послуг таких як: консультування/формування життєстійкості; соціальний супровід сімей, в яких виховуються ді</w:t>
      </w:r>
      <w:r>
        <w:rPr>
          <w:color w:val="000000" w:themeColor="text1"/>
          <w:sz w:val="28"/>
          <w:szCs w:val="28"/>
        </w:rPr>
        <w:t xml:space="preserve">ти-сироти та діти, позбавлені батьківського </w:t>
      </w:r>
      <w:r>
        <w:rPr>
          <w:color w:val="000000" w:themeColor="text1"/>
          <w:sz w:val="28"/>
          <w:szCs w:val="28"/>
        </w:rPr>
        <w:t xml:space="preserve">піклування; соціальний супровід сімей, які перебувають у складних життєвих обставинах; екстренно-кризове втручання. В межах даного проєкту була створена робоча група, проведені засідання даної робочої групи, на я</w:t>
      </w:r>
      <w:r>
        <w:rPr>
          <w:color w:val="000000" w:themeColor="text1"/>
          <w:sz w:val="28"/>
          <w:szCs w:val="28"/>
        </w:rPr>
        <w:t xml:space="preserve">ких були обговорені питання щодо аналізу соціальних послуг у громаді, щодо їх підсилення, запровадження нових послуг, було також здійснено картування послуг. Також затверджено Порядок міжвідомчої взаємодії всіх суб'єктів, дотичних до соціальної сфери. В м</w:t>
      </w:r>
      <w:r>
        <w:rPr>
          <w:color w:val="000000" w:themeColor="text1"/>
          <w:sz w:val="28"/>
          <w:szCs w:val="28"/>
        </w:rPr>
        <w:t xml:space="preserve">ежах даного проєкту було проведено безліч вебінарів, семінарів, консультацій на тематику надання соціальної послуги кризово/екстреного втручання, позитивне батьківство, надання послуги денного догляду для всіх категорій дітей, соціальне замовлення, найкра</w:t>
      </w:r>
      <w:r>
        <w:rPr>
          <w:color w:val="000000" w:themeColor="text1"/>
          <w:sz w:val="28"/>
          <w:szCs w:val="28"/>
        </w:rPr>
        <w:t xml:space="preserve">щі інтереси дитини, неочевидні форми психологічного насильства щодо дітей та інше. Завдяки проведенню таких навчань для працівників центру у громаді підсилено соціальні послуги. В межах даного проєкту, за кошти ЮНІСЕФ у частині приміщення, яке було передан</w:t>
      </w:r>
      <w:r>
        <w:rPr>
          <w:color w:val="000000" w:themeColor="text1"/>
          <w:sz w:val="28"/>
          <w:szCs w:val="28"/>
        </w:rPr>
        <w:t xml:space="preserve">о на баланс та у оперативне управління КУ ММЦСС та знаходиться за адресою: вул. Титаренка Сергія, 9, м. Мена були виконані роботи з реконструкції приміщення, де розташований Відділ інтегрованих соціальних послуг/ Центру життєстійкості КУ ММЦСС.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 xml:space="preserve">Також в ц</w:t>
      </w:r>
      <w:r>
        <w:rPr>
          <w:color w:val="000000" w:themeColor="text1"/>
          <w:sz w:val="28"/>
          <w:szCs w:val="28"/>
        </w:rPr>
        <w:t xml:space="preserve">ьому році, завдяки підписанню Меморандуму між Менською міською радою та Громадською спілкою «Українська мережа за права дитини» щодо співпраці у реалізації на території громади «Мінімальний пакет інтегрованих соціальних послуг», цетром здійснені наступні</w:t>
      </w:r>
      <w:r>
        <w:rPr>
          <w:color w:val="000000" w:themeColor="text1"/>
          <w:sz w:val="28"/>
          <w:szCs w:val="28"/>
        </w:rPr>
        <w:t xml:space="preserve"> кроки: у структуру КУ ММЦСС введено 5 посад працівників: соціального менеджера, 2 соціальні працівника, психолога і фахівця із соціальної роботи. Дані працівники з початку року  працюють за фінансування ГС «Українська мережа за права дитини», згідно Мемо</w:t>
      </w:r>
      <w:r>
        <w:rPr>
          <w:color w:val="000000" w:themeColor="text1"/>
          <w:sz w:val="28"/>
          <w:szCs w:val="28"/>
        </w:rPr>
        <w:t xml:space="preserve">рандуму, а після офіційного відкриття Відділу інтегрованих соціальних послуг/ Центру життєстійкості КУ ММЦСС, дані працівники будуть офіційно працевлаштовані у ньому. Наразі фахівці працюють в межах проєкту «Мінімальний пакет інтегрованих соціальних послу</w:t>
      </w:r>
      <w:r>
        <w:rPr>
          <w:color w:val="000000" w:themeColor="text1"/>
          <w:sz w:val="28"/>
          <w:szCs w:val="28"/>
        </w:rPr>
        <w:t xml:space="preserve">г для сімей із дітьми», проводячи щоденно заняття для дітей з інвалідністю, проводяться тренерські заняття для батьків з інвалідністю по позитивному батьківству, психологічні заняття з психологом, як групові, так і індивідуальні, фахівці також формують</w:t>
      </w:r>
      <w:r>
        <w:rPr>
          <w:color w:val="000000" w:themeColor="text1"/>
          <w:sz w:val="28"/>
          <w:szCs w:val="28"/>
        </w:rPr>
        <w:t xml:space="preserve"> групи взаємопідтримки батьків, у яких є діти з інвалідністю, проводяться пізнавальні екскурсії для дітей з інвалідністю, як у самій громаді так і за її межами. Слід зазначити, що завдяки співпраці з Менською міською радою, наша громада подала заявку щодо</w:t>
      </w:r>
      <w:r>
        <w:rPr>
          <w:color w:val="000000" w:themeColor="text1"/>
          <w:sz w:val="28"/>
          <w:szCs w:val="28"/>
        </w:rPr>
        <w:t xml:space="preserve"> участі у проєкті із запровадження послуги з формування життєстійкості до Міністерства соціальної політики України. За результатами конкурсного відбору, наша громада пройшла відбір із визначеним на конкурсній основі надавачем вищезазначеної послуги – БФ «</w:t>
      </w:r>
      <w:r>
        <w:rPr>
          <w:color w:val="000000" w:themeColor="text1"/>
          <w:sz w:val="28"/>
          <w:szCs w:val="28"/>
        </w:rPr>
        <w:t xml:space="preserve">Карітас». Послуга передбачає надання психосоціальної підтримки особам, сім'ям та групам осіб, які проживають на території ТГ та належать до вразливих груп населення, або перебувають у складних життєвих обставинах (через шкоду, завдану бойовими діями та/або</w:t>
      </w:r>
      <w:r>
        <w:rPr>
          <w:color w:val="000000" w:themeColor="text1"/>
          <w:sz w:val="28"/>
          <w:szCs w:val="28"/>
        </w:rPr>
        <w:t xml:space="preserve"> тимчасовою окупацією). ЇЇ сутність – у системній підтримці жителів громади – від професійної оцінки їхніх потреб до реалізації комплексного плану такої підтримки. Дана послуга буде надаватися на базі приміщення, де розташований Відділ інтегрованих соціаль</w:t>
      </w:r>
      <w:r>
        <w:rPr>
          <w:color w:val="000000" w:themeColor="text1"/>
          <w:sz w:val="28"/>
          <w:szCs w:val="28"/>
        </w:rPr>
        <w:t xml:space="preserve">них послуг/ Центр </w:t>
      </w:r>
      <w:r>
        <w:rPr>
          <w:color w:val="000000" w:themeColor="text1"/>
          <w:sz w:val="28"/>
          <w:szCs w:val="28"/>
        </w:rPr>
        <w:t xml:space="preserve">життєстійкості КУ ММЦСС працівниками благодійного фонду. З 1 липня вже почалася підготовча робота фахівців з метою надання такої послуги.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Установа на постійній основі співпрацює з Товариством Червоного Хреста України, різноманітними благ</w:t>
      </w:r>
      <w:r>
        <w:rPr>
          <w:color w:val="000000" w:themeColor="text1"/>
          <w:sz w:val="28"/>
          <w:szCs w:val="28"/>
        </w:rPr>
        <w:t xml:space="preserve">одійними фондами, організаціям з метою забезпечення внутрішньо переміщених осіб та інших вразливих категорій гуманітарною та благодійною допомогою. Слід зазначити, що такі особи неодноразово отримували продуктові набори, гігієнічні, ковдри, постіль, рушни</w:t>
      </w:r>
      <w:r>
        <w:rPr>
          <w:color w:val="000000" w:themeColor="text1"/>
          <w:sz w:val="28"/>
          <w:szCs w:val="28"/>
        </w:rPr>
        <w:t xml:space="preserve">ки, матраси, посуд та інше.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КУ ММЦСС звернулася з офіційним листом за допомогою до БО «МБФ «САППОРТ ЮКРЕЙН» у сприянні щодо виділення гуманітарної допомоги у вигляді автомобіля, оскільки автомобіль КУ ММЦСС знаходиться на сьогоднішній ден</w:t>
      </w:r>
      <w:r>
        <w:rPr>
          <w:color w:val="000000" w:themeColor="text1"/>
          <w:sz w:val="28"/>
          <w:szCs w:val="28"/>
        </w:rPr>
        <w:t xml:space="preserve">ь в аварійному стані, також автомобіль потрібе</w:t>
      </w:r>
      <w:r>
        <w:rPr>
          <w:color w:val="000000" w:themeColor="text1"/>
          <w:sz w:val="28"/>
          <w:szCs w:val="28"/>
        </w:rPr>
        <w:t xml:space="preserve">н для здійснення невідкладних виїздів Мобільної бригади соціально-психологічної допомоги особам, які постраждали від домашнього насильства та/або насильства за ознаками статі</w:t>
      </w:r>
      <w:r>
        <w:rPr>
          <w:color w:val="000000" w:themeColor="text1"/>
          <w:sz w:val="28"/>
          <w:szCs w:val="28"/>
          <w:highlight w:val="white"/>
        </w:rPr>
        <w:t xml:space="preserve">, яка була створена в цьому році. На даний час, за інформацією вищезазначеної бл</w:t>
      </w:r>
      <w:r>
        <w:rPr>
          <w:color w:val="000000" w:themeColor="text1"/>
          <w:sz w:val="28"/>
          <w:szCs w:val="28"/>
          <w:highlight w:val="white"/>
        </w:rPr>
        <w:t xml:space="preserve">агодійної організації, авто забронньоване і найближчим часом буде в Україні.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uppressLineNumbers w:val="false"/>
        <w:pBdr/>
        <w:shd w:val="clear" w:color="auto" w:fill="ffffff"/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</w:rPr>
      </w:r>
      <w:bookmarkStart w:id="3" w:name="_heading=h.13vh9jlqjrvv"/>
      <w:r>
        <w:rPr>
          <w:color w:val="000000" w:themeColor="text1"/>
        </w:rPr>
      </w:r>
      <w:bookmarkEnd w:id="3"/>
      <w:r>
        <w:rPr>
          <w:color w:val="000000" w:themeColor="text1"/>
          <w:sz w:val="28"/>
          <w:szCs w:val="28"/>
        </w:rPr>
        <w:t xml:space="preserve">З 01.02.2018 року в громаді створено та функціонує </w:t>
      </w:r>
      <w:r>
        <w:rPr>
          <w:b/>
          <w:color w:val="000000" w:themeColor="text1"/>
          <w:sz w:val="28"/>
          <w:szCs w:val="28"/>
        </w:rPr>
        <w:t xml:space="preserve">КУ «Територіальний центр соціального обслуговування (надання соціальних послуг»</w:t>
      </w:r>
      <w:r>
        <w:rPr>
          <w:color w:val="000000" w:themeColor="text1"/>
          <w:sz w:val="28"/>
          <w:szCs w:val="28"/>
        </w:rPr>
        <w:t xml:space="preserve">. Рішенням Менської міської ради (двадцять шоста сесія восьмого скликання) №416 від 23.11.2022 року змінено назву комунальної установи на «Менський територіальний центр надання соціальних послуг» та затверджено Положення в новій редакції.  В складі територ</w:t>
      </w:r>
      <w:r>
        <w:rPr>
          <w:color w:val="000000" w:themeColor="text1"/>
          <w:sz w:val="28"/>
          <w:szCs w:val="28"/>
        </w:rPr>
        <w:t xml:space="preserve">іального центру надають соціальні послуги чотири відділення: відділення соціальної допомоги вдома, відділення денного перебування, відділення організації надання адресної натуральної допомоги та відділення стаціонарного догляду для постійного або тимчасово</w:t>
      </w:r>
      <w:r>
        <w:rPr>
          <w:color w:val="000000" w:themeColor="text1"/>
          <w:sz w:val="28"/>
          <w:szCs w:val="28"/>
        </w:rPr>
        <w:t xml:space="preserve">го проживання. 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У територіальному центрі станом на І півріччя 2025 року на обліку перебува</w:t>
      </w:r>
      <w:r>
        <w:rPr>
          <w:color w:val="000000" w:themeColor="text1"/>
          <w:sz w:val="28"/>
          <w:szCs w:val="28"/>
        </w:rPr>
        <w:t xml:space="preserve">є 2001 особа, що потребують соціального обслуговування, із них вже отримали соціальні послуги 1580 особа, ефективність соціального обслуговування становить 79% 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За </w:t>
      </w:r>
      <w:r>
        <w:rPr>
          <w:color w:val="000000" w:themeColor="text1"/>
          <w:sz w:val="28"/>
          <w:szCs w:val="28"/>
        </w:rPr>
        <w:t xml:space="preserve">звітний період відділеннями територіального центру прийнято на облік 116 нових підопічних.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Завдяки</w:t>
      </w:r>
      <w:r>
        <w:rPr>
          <w:color w:val="000000" w:themeColor="text1"/>
          <w:sz w:val="28"/>
          <w:szCs w:val="28"/>
        </w:rPr>
        <w:t xml:space="preserve"> реалізації проєкту ПРООН за посередництва ГО «Ліга соціальних працівників України» почав свою роботу Простір соціальної адаптації. На сьогодні більше 200 лю</w:t>
      </w:r>
      <w:r>
        <w:rPr>
          <w:color w:val="000000" w:themeColor="text1"/>
          <w:sz w:val="28"/>
          <w:szCs w:val="28"/>
        </w:rPr>
        <w:t xml:space="preserve">дей отримали групові послуги з арт терапії, ниткографії (що дозволяє розвивати дрібну моторику рук і стимулює мозкову та психічну активність, вдосконалює увагу, мислення, уяву, пам’ять, відчуття та сприймання, розвиває гнучкість та рухливість пальців), пси</w:t>
      </w:r>
      <w:r>
        <w:rPr>
          <w:color w:val="000000" w:themeColor="text1"/>
          <w:sz w:val="28"/>
          <w:szCs w:val="28"/>
        </w:rPr>
        <w:t xml:space="preserve">хологічного розвантаження, кінотерапії, каністерапії та інших видів і надано 57 індивідуальних послуг (включаюч</w:t>
      </w:r>
      <w:r>
        <w:rPr>
          <w:color w:val="000000" w:themeColor="text1"/>
          <w:sz w:val="28"/>
          <w:szCs w:val="28"/>
        </w:rPr>
        <w:t xml:space="preserve">и гарячу телефонну лінію) та проводяться раз на місяць заняття з комп’ютерної грамотності.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Також завдяки реалізації даного проєкту територіальни</w:t>
      </w:r>
      <w:r>
        <w:rPr>
          <w:color w:val="000000" w:themeColor="text1"/>
          <w:sz w:val="28"/>
          <w:szCs w:val="28"/>
        </w:rPr>
        <w:t xml:space="preserve">й центр отримав легковий автомобіль Fiat Dobblo (вартістю 1500624,00 грн).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БО «БФ «Stabilization Support Services» надав двоколісні велосипеди для соціальних робітників у кількості трьох штук на суму 33300,00 грн.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 «МБФ «Let’s help» надав спеціальні баг</w:t>
      </w:r>
      <w:r>
        <w:rPr>
          <w:color w:val="000000" w:themeColor="text1"/>
          <w:sz w:val="28"/>
          <w:szCs w:val="28"/>
        </w:rPr>
        <w:t xml:space="preserve">атофункціональні ліжка для підопічних в стаціонарне відділення для постійного або тимчасового проживання с. </w:t>
      </w:r>
      <w:r>
        <w:rPr>
          <w:color w:val="000000" w:themeColor="text1"/>
          <w:sz w:val="28"/>
          <w:szCs w:val="28"/>
        </w:rPr>
        <w:t xml:space="preserve">Стольне у кількості п’яти штук на суму 31850,00 грн. та газову плиту на суму 7249,00 грн.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 w:left="36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Галузь культури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 У першому півріччі</w:t>
      </w:r>
      <w:r>
        <w:rPr>
          <w:color w:val="000000" w:themeColor="text1"/>
          <w:sz w:val="28"/>
          <w:szCs w:val="28"/>
        </w:rPr>
        <w:t xml:space="preserve"> 2025 року працівники Відділу культури Менської територіал</w:t>
      </w:r>
      <w:r>
        <w:rPr>
          <w:color w:val="000000" w:themeColor="text1"/>
          <w:sz w:val="28"/>
          <w:szCs w:val="28"/>
        </w:rPr>
        <w:t xml:space="preserve">ьної громади працювали в умовах викликів сьогодення, поєднуючи реалізацію державної політики у сфері культури з волонтерською, патріотичною та просвітницькою діяльністю, відповідно до вимог воєнного</w:t>
      </w:r>
      <w:r>
        <w:rPr>
          <w:color w:val="000000" w:themeColor="text1"/>
          <w:sz w:val="28"/>
          <w:szCs w:val="28"/>
        </w:rPr>
        <w:t xml:space="preserve"> стану.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Культурне обслуговування жителів Менської громади забезпечують п’ять комунальних закладів: КЗ «Менський будинок культури» з 24 філіями, КЗ «Менська публічна бібліотека» з 24 філіями, КЗ «Центр культури та дозвілля молоді», КЗ «Менський краєзн</w:t>
      </w:r>
      <w:r>
        <w:rPr>
          <w:color w:val="000000" w:themeColor="text1"/>
          <w:sz w:val="28"/>
          <w:szCs w:val="28"/>
        </w:rPr>
        <w:t xml:space="preserve">авчий музей ім. В.Ф. Покотила» та КЗ «Менська школа мистецтв». Всі заклади культури продовжують активно працювати, адаптуючи діяльність до потреб громади та умов безпеки.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За звітний період у КЗ «Менський будинок культури» проведено поточний ремонт музейної</w:t>
      </w:r>
      <w:r>
        <w:rPr>
          <w:color w:val="000000" w:themeColor="text1"/>
          <w:sz w:val="28"/>
          <w:szCs w:val="28"/>
        </w:rPr>
        <w:t xml:space="preserve"> студії на суму 27 954 грн, а також ремонт ганку будинку культури на суму 33 435,25 грн. Облаштовано постамент під LED-екраном у центральній частині міста на суму 27 000 грн. Придбано комп’ютерну техніку: монітор – на суму 8 823 грн, системний блок – 15 43</w:t>
      </w:r>
      <w:r>
        <w:rPr>
          <w:color w:val="000000" w:themeColor="text1"/>
          <w:sz w:val="28"/>
          <w:szCs w:val="28"/>
        </w:rPr>
        <w:t xml:space="preserve">8 грн.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Також проведено поточний ремонт електромереж із заміною лічильників у філіях</w:t>
      </w:r>
      <w:r>
        <w:rPr>
          <w:color w:val="000000" w:themeColor="text1"/>
          <w:sz w:val="28"/>
          <w:szCs w:val="28"/>
        </w:rPr>
        <w:t xml:space="preserve">, розт</w:t>
      </w:r>
      <w:r>
        <w:rPr>
          <w:color w:val="000000" w:themeColor="text1"/>
          <w:sz w:val="28"/>
          <w:szCs w:val="28"/>
        </w:rPr>
        <w:t xml:space="preserve">ашованих у селах Синявка, Куковичі, Покровське, Бірківка та Феськівка, на загальну суму 17 060 грн.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Для Макошинської філії закуплено циркуляційний насос на суму 1 200 грн; для Киселівської філії – прожектор і провід на суму 3 000 грн; для Куковицької філії – прожектор LED на суму 1440 грн.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Ініціативною групою молодіжного простору «МУР» подано проєкт</w:t>
      </w:r>
      <w:r>
        <w:rPr>
          <w:color w:val="000000" w:themeColor="text1"/>
          <w:sz w:val="28"/>
          <w:szCs w:val="28"/>
        </w:rPr>
        <w:t xml:space="preserve"> «Клуб настільних відкриттів» у межах конкурсу мінігрантів, за результатами якого отримано фінансува</w:t>
      </w:r>
      <w:r>
        <w:rPr>
          <w:color w:val="000000" w:themeColor="text1"/>
          <w:sz w:val="28"/>
          <w:szCs w:val="28"/>
        </w:rPr>
        <w:t xml:space="preserve">ння в сумі 10 289 грн. Заклад отримав інтерактивне обладнання від Громадської організації “ГОГЛОБАЛ” та ГО “Доброчин”, які були передані для використання у </w:t>
      </w:r>
      <w:r>
        <w:rPr>
          <w:color w:val="000000" w:themeColor="text1"/>
          <w:sz w:val="28"/>
          <w:szCs w:val="28"/>
        </w:rPr>
        <w:t xml:space="preserve">молодіжно-освітному просторі Ко_Лаба. Також за звітний </w:t>
      </w:r>
      <w:r>
        <w:rPr>
          <w:color w:val="000000" w:themeColor="text1"/>
          <w:sz w:val="28"/>
          <w:szCs w:val="28"/>
        </w:rPr>
        <w:t xml:space="preserve">період </w:t>
      </w:r>
      <w:r>
        <w:rPr>
          <w:color w:val="000000" w:themeColor="text1"/>
          <w:sz w:val="28"/>
          <w:szCs w:val="28"/>
        </w:rPr>
        <w:t xml:space="preserve">за власні кошти придбано комп’ютер на суму 17 098 грн та ноутбук на суму 19 999 грн.»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Заступник начальника відділу міжнародного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="0" w:beforeAutospacing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співробітництва та економічного розвитку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6520"/>
        </w:tabs>
        <w:spacing w:after="0" w:afterAutospacing="0" w:before="0" w:beforeAutospacing="0" w:line="240" w:lineRule="auto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Менської міської ради</w:t>
        <w:tab/>
        <w:t xml:space="preserve">Тетяна КАРПЕНКО</w:t>
      </w:r>
      <w:r>
        <w:rPr>
          <w:color w:val="000000" w:themeColor="text1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134" w:right="567" w:bottom="1134" w:left="1701" w:header="283" w:footer="309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Noto Sans Symbols">
    <w:panose1 w:val="020704090202050204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677"/>
        <w:tab w:val="right" w:leader="none" w:pos="9355"/>
      </w:tabs>
      <w:spacing/>
      <w:ind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end"/>
    </w:r>
    <w:r>
      <w:rPr>
        <w:color w:val="000000"/>
      </w:rPr>
    </w:r>
    <w:r>
      <w:rPr>
        <w:color w:val="000000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677"/>
        <w:tab w:val="right" w:leader="none" w:pos="9355"/>
      </w:tabs>
      <w:spacing/>
      <w:ind w:right="360"/>
      <w:rPr>
        <w:color w:val="000000"/>
      </w:rP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677"/>
        <w:tab w:val="right" w:leader="none" w:pos="9355"/>
      </w:tabs>
      <w:spacing/>
      <w:ind/>
      <w:rPr>
        <w:color w:val="000000"/>
      </w:rP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677"/>
        <w:tab w:val="right" w:leader="none" w:pos="9355"/>
      </w:tabs>
      <w:spacing/>
      <w:ind/>
      <w:jc w:val="center"/>
      <w:rPr>
        <w:i/>
        <w:color w:val="000000"/>
        <w:sz w:val="24"/>
        <w:szCs w:val="24"/>
      </w:rPr>
    </w:pPr>
    <w:r>
      <w:rPr>
        <w:color w:val="000000"/>
      </w:rPr>
      <w:t xml:space="preserve">                                             </w:t>
    </w:r>
    <w:r>
      <w:rPr>
        <w:color w:val="000000"/>
        <w:sz w:val="24"/>
        <w:szCs w:val="24"/>
      </w:rPr>
      <w:t xml:space="preserve"> </w:t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PAGE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 xml:space="preserve">2</w:t>
    </w:r>
    <w:r>
      <w:rPr>
        <w:color w:val="000000"/>
        <w:sz w:val="24"/>
        <w:szCs w:val="24"/>
      </w:rPr>
      <w:fldChar w:fldCharType="end"/>
    </w:r>
    <w:r>
      <w:rPr>
        <w:color w:val="000000"/>
        <w:sz w:val="24"/>
        <w:szCs w:val="24"/>
      </w:rPr>
      <w:t xml:space="preserve">                    </w:t>
    </w:r>
    <w:r>
      <w:rPr>
        <w:i/>
        <w:color w:val="000000"/>
        <w:sz w:val="24"/>
        <w:szCs w:val="24"/>
      </w:rPr>
      <w:t xml:space="preserve">продовження додатка</w:t>
    </w:r>
    <w:r>
      <w:rPr>
        <w:i/>
        <w:color w:val="000000"/>
        <w:sz w:val="24"/>
        <w:szCs w:val="24"/>
      </w:rPr>
    </w:r>
    <w:r>
      <w:rPr>
        <w:i/>
        <w:color w:val="000000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677"/>
        <w:tab w:val="right" w:leader="none" w:pos="9355"/>
      </w:tabs>
      <w:spacing/>
      <w:ind/>
      <w:jc w:val="center"/>
      <w:rPr>
        <w:color w:val="000000"/>
      </w:rPr>
    </w:pPr>
    <w:r>
      <w:rPr>
        <w:color w:val="000000"/>
      </w:rPr>
    </w:r>
    <w:r>
      <w:rPr>
        <w:color w:val="000000"/>
      </w:rPr>
    </w:r>
    <w:r>
      <w:rPr>
        <w:color w:val="000000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4677"/>
        <w:tab w:val="right" w:leader="none" w:pos="9355"/>
      </w:tabs>
      <w:spacing/>
      <w:ind/>
      <w:rPr>
        <w:color w:val="000000"/>
      </w:rP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502"/>
      </w:pPr>
      <w:rPr>
        <w:rFonts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367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3087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527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247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687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33" w:left="3027"/>
      </w:pPr>
      <w:rPr>
        <w:u w:val="none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33" w:left="1136"/>
      </w:pPr>
      <w:rPr>
        <w:u w:val="none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33" w:left="2153"/>
      </w:pPr>
      <w:rPr>
        <w:u w:val="none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33" w:left="3169"/>
      </w:pPr>
      <w:rPr>
        <w:u w:val="none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33" w:left="4186"/>
      </w:pPr>
      <w:rPr>
        <w:u w:val="none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33" w:left="5203"/>
      </w:pPr>
      <w:rPr>
        <w:u w:val="none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33" w:left="6219"/>
      </w:pPr>
      <w:rPr>
        <w:u w:val="none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32" w:left="7236"/>
      </w:pPr>
      <w:rPr>
        <w:u w:val="none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32" w:left="8252"/>
      </w:pPr>
      <w:rPr>
        <w:u w:val="none"/>
      </w:rPr>
      <w:start w:val="0"/>
      <w:suff w:val="tab"/>
    </w:lvl>
  </w:abstractNum>
  <w:abstractNum w:abstractNumId="3">
    <w:lvl w:ilvl="0">
      <w:isLgl w:val="false"/>
      <w:lvlJc w:val="left"/>
      <w:lvlText w:val="●"/>
      <w:numFmt w:val="bullet"/>
      <w:pPr>
        <w:pBdr/>
        <w:spacing/>
        <w:ind w:hanging="360" w:left="862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82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302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3022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742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462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182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02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622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8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8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8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8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8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8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8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8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8"/>
      </w:rPr>
      <w:start w:val="1"/>
      <w:suff w:val="tab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0" w:default="1">
    <w:name w:val="Normal"/>
    <w:pPr>
      <w:pBdr/>
      <w:spacing/>
      <w:ind/>
    </w:pPr>
  </w:style>
  <w:style w:type="paragraph" w:styleId="761">
    <w:name w:val="Heading 1"/>
    <w:basedOn w:val="760"/>
    <w:next w:val="760"/>
    <w:pPr>
      <w:keepNext w:val="true"/>
      <w:pBdr/>
      <w:spacing/>
      <w:ind w:left="567"/>
      <w:outlineLvl w:val="0"/>
    </w:pPr>
    <w:rPr>
      <w:sz w:val="36"/>
      <w:szCs w:val="36"/>
    </w:rPr>
  </w:style>
  <w:style w:type="paragraph" w:styleId="762">
    <w:name w:val="Heading 2"/>
    <w:basedOn w:val="760"/>
    <w:next w:val="760"/>
    <w:pPr>
      <w:keepNext w:val="true"/>
      <w:pBdr/>
      <w:spacing/>
      <w:ind w:firstLine="567" w:left="567"/>
      <w:jc w:val="both"/>
      <w:outlineLvl w:val="1"/>
    </w:pPr>
    <w:rPr>
      <w:sz w:val="28"/>
      <w:szCs w:val="28"/>
    </w:rPr>
  </w:style>
  <w:style w:type="paragraph" w:styleId="763">
    <w:name w:val="Heading 3"/>
    <w:basedOn w:val="760"/>
    <w:next w:val="760"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2"/>
    </w:pPr>
    <w:rPr>
      <w:rFonts w:ascii="Arial" w:hAnsi="Arial" w:eastAsia="Arial" w:cs="Arial"/>
      <w:color w:val="000000"/>
      <w:sz w:val="30"/>
      <w:szCs w:val="30"/>
    </w:rPr>
  </w:style>
  <w:style w:type="paragraph" w:styleId="764">
    <w:name w:val="Heading 4"/>
    <w:basedOn w:val="760"/>
    <w:next w:val="760"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3"/>
    </w:pPr>
    <w:rPr>
      <w:rFonts w:ascii="Arial" w:hAnsi="Arial" w:eastAsia="Arial" w:cs="Arial"/>
      <w:b/>
      <w:color w:val="000000"/>
      <w:sz w:val="26"/>
      <w:szCs w:val="26"/>
    </w:rPr>
  </w:style>
  <w:style w:type="paragraph" w:styleId="765">
    <w:name w:val="Heading 5"/>
    <w:basedOn w:val="760"/>
    <w:next w:val="760"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4"/>
    </w:pPr>
    <w:rPr>
      <w:rFonts w:ascii="Arial" w:hAnsi="Arial" w:eastAsia="Arial" w:cs="Arial"/>
      <w:b/>
      <w:color w:val="000000"/>
      <w:sz w:val="24"/>
      <w:szCs w:val="24"/>
    </w:rPr>
  </w:style>
  <w:style w:type="paragraph" w:styleId="766">
    <w:name w:val="Heading 6"/>
    <w:basedOn w:val="760"/>
    <w:next w:val="760"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5"/>
    </w:pPr>
    <w:rPr>
      <w:rFonts w:ascii="Arial" w:hAnsi="Arial" w:eastAsia="Arial" w:cs="Arial"/>
      <w:b/>
      <w:color w:val="000000"/>
      <w:sz w:val="22"/>
      <w:szCs w:val="22"/>
    </w:rPr>
  </w:style>
  <w:style w:type="paragraph" w:styleId="767">
    <w:name w:val="Heading 7"/>
    <w:link w:val="80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  <w:lang w:eastAsia="zh-CN"/>
    </w:rPr>
  </w:style>
  <w:style w:type="paragraph" w:styleId="768">
    <w:name w:val="Heading 8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  <w:lang w:eastAsia="zh-CN"/>
    </w:rPr>
  </w:style>
  <w:style w:type="paragraph" w:styleId="769">
    <w:name w:val="Heading 9"/>
    <w:link w:val="80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  <w:lang w:eastAsia="zh-CN"/>
    </w:rPr>
  </w:style>
  <w:style w:type="character" w:styleId="770" w:default="1">
    <w:name w:val="Default Paragraph Font"/>
    <w:uiPriority w:val="1"/>
    <w:semiHidden/>
    <w:unhideWhenUsed/>
    <w:pPr>
      <w:pBdr/>
      <w:spacing/>
      <w:ind/>
    </w:pPr>
  </w:style>
  <w:style w:type="table" w:styleId="77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2" w:default="1">
    <w:name w:val="No List"/>
    <w:uiPriority w:val="99"/>
    <w:semiHidden/>
    <w:unhideWhenUsed/>
    <w:pPr>
      <w:pBdr/>
      <w:spacing/>
      <w:ind/>
    </w:pPr>
  </w:style>
  <w:style w:type="table" w:styleId="773" w:customStyle="1">
    <w:name w:val="Table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4">
    <w:name w:val="Title"/>
    <w:basedOn w:val="760"/>
    <w:next w:val="760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00"/>
      <w:ind/>
    </w:pPr>
    <w:rPr>
      <w:color w:val="000000"/>
      <w:sz w:val="48"/>
      <w:szCs w:val="48"/>
    </w:rPr>
  </w:style>
  <w:style w:type="character" w:styleId="775">
    <w:name w:val="Intense Emphasis"/>
    <w:basedOn w:val="77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76">
    <w:name w:val="Intense Reference"/>
    <w:basedOn w:val="77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77">
    <w:name w:val="Subtle Emphasis"/>
    <w:basedOn w:val="77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8">
    <w:name w:val="Emphasis"/>
    <w:basedOn w:val="770"/>
    <w:uiPriority w:val="20"/>
    <w:qFormat/>
    <w:pPr>
      <w:pBdr/>
      <w:spacing/>
      <w:ind/>
    </w:pPr>
    <w:rPr>
      <w:i/>
      <w:iCs/>
    </w:rPr>
  </w:style>
  <w:style w:type="character" w:styleId="779">
    <w:name w:val="Subtle Reference"/>
    <w:basedOn w:val="77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0">
    <w:name w:val="Book Title"/>
    <w:basedOn w:val="77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1">
    <w:name w:val="FollowedHyperlink"/>
    <w:basedOn w:val="77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82" w:customStyle="1">
    <w:name w:val="Heading 1 Char"/>
    <w:basedOn w:val="77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3" w:customStyle="1">
    <w:name w:val="Heading 2 Char"/>
    <w:basedOn w:val="77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4" w:customStyle="1">
    <w:name w:val="Heading 3 Char"/>
    <w:basedOn w:val="77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5" w:customStyle="1">
    <w:name w:val="Heading 4 Char"/>
    <w:basedOn w:val="77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6" w:customStyle="1">
    <w:name w:val="Heading 5 Char"/>
    <w:basedOn w:val="7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7" w:customStyle="1">
    <w:name w:val="Heading 6 Char"/>
    <w:basedOn w:val="77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8" w:customStyle="1">
    <w:name w:val="Heading 7 Char"/>
    <w:basedOn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 w:customStyle="1">
    <w:name w:val="Heading 8 Char"/>
    <w:basedOn w:val="7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0" w:customStyle="1">
    <w:name w:val="Heading 9 Char"/>
    <w:basedOn w:val="7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91" w:customStyle="1">
    <w:name w:val="Title Char"/>
    <w:basedOn w:val="770"/>
    <w:uiPriority w:val="10"/>
    <w:pPr>
      <w:pBdr/>
      <w:spacing/>
      <w:ind/>
    </w:pPr>
    <w:rPr>
      <w:sz w:val="48"/>
      <w:szCs w:val="48"/>
    </w:rPr>
  </w:style>
  <w:style w:type="character" w:styleId="792" w:customStyle="1">
    <w:name w:val="Subtitle Char"/>
    <w:basedOn w:val="770"/>
    <w:uiPriority w:val="11"/>
    <w:pPr>
      <w:pBdr/>
      <w:spacing/>
      <w:ind/>
    </w:pPr>
    <w:rPr>
      <w:sz w:val="24"/>
      <w:szCs w:val="24"/>
    </w:rPr>
  </w:style>
  <w:style w:type="character" w:styleId="793" w:customStyle="1">
    <w:name w:val="Quote Char"/>
    <w:uiPriority w:val="29"/>
    <w:pPr>
      <w:pBdr/>
      <w:spacing/>
      <w:ind/>
    </w:pPr>
    <w:rPr>
      <w:i/>
    </w:rPr>
  </w:style>
  <w:style w:type="character" w:styleId="794" w:customStyle="1">
    <w:name w:val="Intense Quote Char"/>
    <w:uiPriority w:val="30"/>
    <w:pPr>
      <w:pBdr/>
      <w:spacing/>
      <w:ind/>
    </w:pPr>
    <w:rPr>
      <w:i/>
    </w:rPr>
  </w:style>
  <w:style w:type="character" w:styleId="795" w:customStyle="1">
    <w:name w:val="Header Char"/>
    <w:basedOn w:val="770"/>
    <w:uiPriority w:val="99"/>
    <w:pPr>
      <w:pBdr/>
      <w:spacing/>
      <w:ind/>
    </w:pPr>
  </w:style>
  <w:style w:type="character" w:styleId="796" w:customStyle="1">
    <w:name w:val="Caption Char"/>
    <w:uiPriority w:val="99"/>
    <w:pPr>
      <w:pBdr/>
      <w:spacing/>
      <w:ind/>
    </w:pPr>
  </w:style>
  <w:style w:type="character" w:styleId="797" w:customStyle="1">
    <w:name w:val="Footnote Text Char"/>
    <w:uiPriority w:val="99"/>
    <w:pPr>
      <w:pBdr/>
      <w:spacing/>
      <w:ind/>
    </w:pPr>
    <w:rPr>
      <w:sz w:val="18"/>
    </w:rPr>
  </w:style>
  <w:style w:type="character" w:styleId="798" w:customStyle="1">
    <w:name w:val="Endnote Text Char"/>
    <w:uiPriority w:val="99"/>
    <w:pPr>
      <w:pBdr/>
      <w:spacing/>
      <w:ind/>
    </w:pPr>
    <w:rPr>
      <w:sz w:val="20"/>
    </w:rPr>
  </w:style>
  <w:style w:type="character" w:styleId="799" w:customStyle="1">
    <w:name w:val="Заголовок 1 Знак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0" w:customStyle="1">
    <w:name w:val="Заголовок 2 Знак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1" w:customStyle="1">
    <w:name w:val="Заголовок 3 Знак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2" w:customStyle="1">
    <w:name w:val="Заголовок 4 Знак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3" w:customStyle="1">
    <w:name w:val="Заголовок 5 Знак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4" w:customStyle="1">
    <w:name w:val="Заголовок 6 Знак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5" w:customStyle="1">
    <w:name w:val="Заголовок 7 Знак"/>
    <w:link w:val="76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6" w:customStyle="1">
    <w:name w:val="Заголовок 8 Знак"/>
    <w:link w:val="7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7" w:customStyle="1">
    <w:name w:val="Заголовок 9 Знак"/>
    <w:link w:val="76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8">
    <w:name w:val="No Spacing"/>
    <w:uiPriority w:val="1"/>
    <w:qFormat/>
    <w:pPr>
      <w:pBdr/>
      <w:spacing/>
      <w:ind/>
    </w:pPr>
    <w:rPr>
      <w:sz w:val="24"/>
      <w:szCs w:val="24"/>
      <w:lang w:val="ru-RU" w:eastAsia="ru-RU"/>
    </w:rPr>
  </w:style>
  <w:style w:type="character" w:styleId="809" w:customStyle="1">
    <w:name w:val="Назва Знак"/>
    <w:uiPriority w:val="10"/>
    <w:pPr>
      <w:pBdr/>
      <w:spacing/>
      <w:ind/>
    </w:pPr>
    <w:rPr>
      <w:sz w:val="48"/>
      <w:szCs w:val="48"/>
    </w:rPr>
  </w:style>
  <w:style w:type="character" w:styleId="810" w:customStyle="1">
    <w:name w:val="Підзаголовок Знак"/>
    <w:uiPriority w:val="11"/>
    <w:pPr>
      <w:pBdr/>
      <w:spacing/>
      <w:ind/>
    </w:pPr>
    <w:rPr>
      <w:sz w:val="24"/>
      <w:szCs w:val="24"/>
    </w:rPr>
  </w:style>
  <w:style w:type="paragraph" w:styleId="811">
    <w:name w:val="Quote"/>
    <w:link w:val="812"/>
    <w:uiPriority w:val="29"/>
    <w:qFormat/>
    <w:pPr>
      <w:pBdr/>
      <w:spacing/>
      <w:ind w:right="720" w:left="720"/>
    </w:pPr>
    <w:rPr>
      <w:i/>
      <w:lang w:eastAsia="zh-CN"/>
    </w:rPr>
  </w:style>
  <w:style w:type="character" w:styleId="812" w:customStyle="1">
    <w:name w:val="Цитата Знак"/>
    <w:link w:val="811"/>
    <w:uiPriority w:val="29"/>
    <w:pPr>
      <w:pBdr/>
      <w:spacing/>
      <w:ind/>
    </w:pPr>
    <w:rPr>
      <w:i/>
    </w:rPr>
  </w:style>
  <w:style w:type="paragraph" w:styleId="813">
    <w:name w:val="Intense Quote"/>
    <w:link w:val="8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eastAsia="zh-CN"/>
    </w:rPr>
  </w:style>
  <w:style w:type="character" w:styleId="814" w:customStyle="1">
    <w:name w:val="Насичена цитата Знак"/>
    <w:link w:val="813"/>
    <w:uiPriority w:val="30"/>
    <w:pPr>
      <w:pBdr/>
      <w:spacing/>
      <w:ind/>
    </w:pPr>
    <w:rPr>
      <w:i/>
    </w:rPr>
  </w:style>
  <w:style w:type="paragraph" w:styleId="815">
    <w:name w:val="Header"/>
    <w:link w:val="816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16" w:customStyle="1">
    <w:name w:val="Верхній колонтитул Знак"/>
    <w:link w:val="815"/>
    <w:uiPriority w:val="99"/>
    <w:pPr>
      <w:pBdr/>
      <w:spacing/>
      <w:ind/>
    </w:pPr>
  </w:style>
  <w:style w:type="paragraph" w:styleId="817">
    <w:name w:val="Footer"/>
    <w:link w:val="82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18" w:customStyle="1">
    <w:name w:val="Footer Char"/>
    <w:uiPriority w:val="99"/>
    <w:pPr>
      <w:pBdr/>
      <w:spacing/>
      <w:ind/>
    </w:pPr>
  </w:style>
  <w:style w:type="paragraph" w:styleId="819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  <w:lang w:eastAsia="zh-CN"/>
    </w:rPr>
  </w:style>
  <w:style w:type="character" w:styleId="820" w:customStyle="1">
    <w:name w:val="Нижній колонтитул Знак"/>
    <w:link w:val="817"/>
    <w:uiPriority w:val="99"/>
    <w:pPr>
      <w:pBdr/>
      <w:spacing/>
      <w:ind/>
    </w:pPr>
  </w:style>
  <w:style w:type="table" w:styleId="821">
    <w:name w:val="Table Grid"/>
    <w:uiPriority w:val="39"/>
    <w:pPr>
      <w:pBdr/>
      <w:spacing/>
      <w:ind/>
    </w:pPr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Table Grid Light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Plain Table 1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Plain Table 2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Plain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Plain Table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Plain Table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1 Light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4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1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2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3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4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5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6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5 Dark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6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7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1 Light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5 Dark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6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7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7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948">
    <w:name w:val="footnote text"/>
    <w:link w:val="949"/>
    <w:uiPriority w:val="99"/>
    <w:semiHidden/>
    <w:unhideWhenUsed/>
    <w:pPr>
      <w:pBdr/>
      <w:spacing w:after="40"/>
      <w:ind/>
    </w:pPr>
    <w:rPr>
      <w:sz w:val="18"/>
      <w:lang w:eastAsia="zh-CN"/>
    </w:rPr>
  </w:style>
  <w:style w:type="character" w:styleId="949" w:customStyle="1">
    <w:name w:val="Текст виноски Знак"/>
    <w:link w:val="948"/>
    <w:uiPriority w:val="99"/>
    <w:pPr>
      <w:pBdr/>
      <w:spacing/>
      <w:ind/>
    </w:pPr>
    <w:rPr>
      <w:sz w:val="18"/>
    </w:rPr>
  </w:style>
  <w:style w:type="character" w:styleId="95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51">
    <w:name w:val="endnote text"/>
    <w:link w:val="952"/>
    <w:uiPriority w:val="99"/>
    <w:semiHidden/>
    <w:unhideWhenUsed/>
    <w:pPr>
      <w:pBdr/>
      <w:spacing/>
      <w:ind/>
    </w:pPr>
    <w:rPr>
      <w:lang w:eastAsia="zh-CN"/>
    </w:rPr>
  </w:style>
  <w:style w:type="character" w:styleId="952" w:customStyle="1">
    <w:name w:val="Текст кінцевої виноски Знак"/>
    <w:link w:val="951"/>
    <w:uiPriority w:val="99"/>
    <w:pPr>
      <w:pBdr/>
      <w:spacing/>
      <w:ind/>
    </w:pPr>
    <w:rPr>
      <w:sz w:val="20"/>
    </w:rPr>
  </w:style>
  <w:style w:type="character" w:styleId="95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54">
    <w:name w:val="toc 1"/>
    <w:uiPriority w:val="39"/>
    <w:unhideWhenUsed/>
    <w:pPr>
      <w:pBdr/>
      <w:spacing w:after="57"/>
      <w:ind/>
    </w:pPr>
    <w:rPr>
      <w:lang w:eastAsia="zh-CN"/>
    </w:rPr>
  </w:style>
  <w:style w:type="paragraph" w:styleId="955">
    <w:name w:val="toc 2"/>
    <w:uiPriority w:val="39"/>
    <w:unhideWhenUsed/>
    <w:pPr>
      <w:pBdr/>
      <w:spacing w:after="57"/>
      <w:ind w:left="283"/>
    </w:pPr>
    <w:rPr>
      <w:lang w:eastAsia="zh-CN"/>
    </w:rPr>
  </w:style>
  <w:style w:type="paragraph" w:styleId="956">
    <w:name w:val="toc 3"/>
    <w:uiPriority w:val="39"/>
    <w:unhideWhenUsed/>
    <w:pPr>
      <w:pBdr/>
      <w:spacing w:after="57"/>
      <w:ind w:left="567"/>
    </w:pPr>
    <w:rPr>
      <w:lang w:eastAsia="zh-CN"/>
    </w:rPr>
  </w:style>
  <w:style w:type="paragraph" w:styleId="957">
    <w:name w:val="toc 4"/>
    <w:uiPriority w:val="39"/>
    <w:unhideWhenUsed/>
    <w:pPr>
      <w:pBdr/>
      <w:spacing w:after="57"/>
      <w:ind w:left="850"/>
    </w:pPr>
    <w:rPr>
      <w:lang w:eastAsia="zh-CN"/>
    </w:rPr>
  </w:style>
  <w:style w:type="paragraph" w:styleId="958">
    <w:name w:val="toc 5"/>
    <w:uiPriority w:val="39"/>
    <w:unhideWhenUsed/>
    <w:pPr>
      <w:pBdr/>
      <w:spacing w:after="57"/>
      <w:ind w:left="1134"/>
    </w:pPr>
    <w:rPr>
      <w:lang w:eastAsia="zh-CN"/>
    </w:rPr>
  </w:style>
  <w:style w:type="paragraph" w:styleId="959">
    <w:name w:val="toc 6"/>
    <w:uiPriority w:val="39"/>
    <w:unhideWhenUsed/>
    <w:pPr>
      <w:pBdr/>
      <w:spacing w:after="57"/>
      <w:ind w:left="1417"/>
    </w:pPr>
    <w:rPr>
      <w:lang w:eastAsia="zh-CN"/>
    </w:rPr>
  </w:style>
  <w:style w:type="paragraph" w:styleId="960">
    <w:name w:val="toc 7"/>
    <w:uiPriority w:val="39"/>
    <w:unhideWhenUsed/>
    <w:pPr>
      <w:pBdr/>
      <w:spacing w:after="57"/>
      <w:ind w:left="1701"/>
    </w:pPr>
    <w:rPr>
      <w:lang w:eastAsia="zh-CN"/>
    </w:rPr>
  </w:style>
  <w:style w:type="paragraph" w:styleId="961">
    <w:name w:val="toc 8"/>
    <w:uiPriority w:val="39"/>
    <w:unhideWhenUsed/>
    <w:pPr>
      <w:pBdr/>
      <w:spacing w:after="57"/>
      <w:ind w:left="1984"/>
    </w:pPr>
    <w:rPr>
      <w:lang w:eastAsia="zh-CN"/>
    </w:rPr>
  </w:style>
  <w:style w:type="paragraph" w:styleId="962">
    <w:name w:val="toc 9"/>
    <w:uiPriority w:val="39"/>
    <w:unhideWhenUsed/>
    <w:pPr>
      <w:pBdr/>
      <w:spacing w:after="57"/>
      <w:ind w:left="2268"/>
    </w:pPr>
    <w:rPr>
      <w:lang w:eastAsia="zh-CN"/>
    </w:rPr>
  </w:style>
  <w:style w:type="paragraph" w:styleId="963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64">
    <w:name w:val="table of figures"/>
    <w:uiPriority w:val="99"/>
    <w:unhideWhenUsed/>
    <w:pPr>
      <w:pBdr/>
      <w:spacing/>
      <w:ind/>
    </w:pPr>
    <w:rPr>
      <w:lang w:eastAsia="zh-CN"/>
    </w:rPr>
  </w:style>
  <w:style w:type="paragraph" w:styleId="965" w:customStyle="1">
    <w:name w:val="Знак Знак Знак Знак"/>
    <w:pPr>
      <w:pBdr/>
      <w:spacing/>
      <w:ind/>
    </w:pPr>
    <w:rPr>
      <w:rFonts w:ascii="Verdana" w:hAnsi="Verdana"/>
      <w:lang w:val="en-US" w:eastAsia="en-US"/>
    </w:rPr>
  </w:style>
  <w:style w:type="paragraph" w:styleId="966">
    <w:name w:val="Balloon Text"/>
    <w:semiHidden/>
    <w:pPr>
      <w:pBdr/>
      <w:spacing/>
      <w:ind/>
    </w:pPr>
    <w:rPr>
      <w:rFonts w:ascii="Tahoma" w:hAnsi="Tahoma"/>
      <w:sz w:val="16"/>
      <w:szCs w:val="16"/>
    </w:rPr>
  </w:style>
  <w:style w:type="paragraph" w:styleId="967">
    <w:name w:val="Body Text"/>
    <w:pPr>
      <w:pBdr/>
      <w:spacing w:after="120"/>
      <w:ind/>
    </w:pPr>
  </w:style>
  <w:style w:type="paragraph" w:styleId="968">
    <w:name w:val="Normal (Web)"/>
    <w:uiPriority w:val="99"/>
    <w:pPr>
      <w:pBdr/>
      <w:spacing w:after="100" w:afterAutospacing="1" w:before="100" w:beforeAutospacing="1"/>
      <w:ind/>
    </w:pPr>
  </w:style>
  <w:style w:type="paragraph" w:styleId="969">
    <w:name w:val="Body Text Indent 2"/>
    <w:pPr>
      <w:pBdr/>
      <w:spacing w:after="120" w:line="480" w:lineRule="auto"/>
      <w:ind w:left="283"/>
    </w:pPr>
  </w:style>
  <w:style w:type="paragraph" w:styleId="970">
    <w:name w:val="List Paragraph"/>
    <w:uiPriority w:val="34"/>
    <w:qFormat/>
    <w:pPr>
      <w:pBdr/>
      <w:spacing/>
      <w:ind w:left="720"/>
      <w:contextualSpacing w:val="true"/>
    </w:pPr>
    <w:rPr>
      <w:rFonts w:eastAsia="Calibri"/>
    </w:rPr>
  </w:style>
  <w:style w:type="paragraph" w:styleId="971">
    <w:name w:val="Body Text Indent"/>
    <w:link w:val="972"/>
    <w:pPr>
      <w:pBdr/>
      <w:spacing w:after="120" w:line="276" w:lineRule="auto"/>
      <w:ind w:left="283"/>
    </w:pPr>
    <w:rPr>
      <w:rFonts w:ascii="Calibri" w:hAnsi="Calibri" w:eastAsia="Calibri"/>
      <w:sz w:val="22"/>
      <w:szCs w:val="22"/>
      <w:lang w:eastAsia="en-US"/>
    </w:rPr>
  </w:style>
  <w:style w:type="character" w:styleId="972" w:customStyle="1">
    <w:name w:val="Основний текст з відступом Знак"/>
    <w:link w:val="971"/>
    <w:pPr>
      <w:pBdr/>
      <w:spacing/>
      <w:ind/>
    </w:pPr>
    <w:rPr>
      <w:rFonts w:ascii="Calibri" w:hAnsi="Calibri" w:eastAsia="Calibri"/>
      <w:sz w:val="22"/>
      <w:szCs w:val="22"/>
      <w:lang w:val="uk-UA" w:eastAsia="en-US" w:bidi="ar-SA"/>
    </w:rPr>
  </w:style>
  <w:style w:type="character" w:styleId="973">
    <w:name w:val="page number"/>
    <w:basedOn w:val="770"/>
    <w:pPr>
      <w:pBdr/>
      <w:spacing/>
      <w:ind/>
    </w:pPr>
  </w:style>
  <w:style w:type="paragraph" w:styleId="974">
    <w:name w:val="Body Text Indent 3"/>
    <w:link w:val="977"/>
    <w:pPr>
      <w:pBdr/>
      <w:spacing w:after="120"/>
      <w:ind w:left="283"/>
    </w:pPr>
    <w:rPr>
      <w:sz w:val="16"/>
      <w:szCs w:val="16"/>
    </w:rPr>
  </w:style>
  <w:style w:type="character" w:styleId="975" w:customStyle="1">
    <w:name w:val="green ng-binding"/>
    <w:basedOn w:val="770"/>
    <w:pPr>
      <w:pBdr/>
      <w:spacing/>
      <w:ind/>
    </w:pPr>
  </w:style>
  <w:style w:type="character" w:styleId="976">
    <w:name w:val="Strong"/>
    <w:qFormat/>
    <w:pPr>
      <w:pBdr/>
      <w:spacing/>
      <w:ind/>
    </w:pPr>
    <w:rPr>
      <w:b/>
      <w:bCs/>
    </w:rPr>
  </w:style>
  <w:style w:type="character" w:styleId="977" w:customStyle="1">
    <w:name w:val="Основний текст з відступом 3 Знак"/>
    <w:link w:val="974"/>
    <w:pPr>
      <w:pBdr/>
      <w:spacing/>
      <w:ind/>
    </w:pPr>
    <w:rPr>
      <w:sz w:val="16"/>
      <w:szCs w:val="16"/>
    </w:rPr>
  </w:style>
  <w:style w:type="character" w:styleId="978">
    <w:name w:val="annotation reference"/>
    <w:basedOn w:val="77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79">
    <w:name w:val="annotation text"/>
    <w:link w:val="980"/>
    <w:uiPriority w:val="99"/>
    <w:semiHidden/>
    <w:unhideWhenUsed/>
    <w:pPr>
      <w:pBdr/>
      <w:spacing w:after="160"/>
      <w:ind/>
    </w:pPr>
    <w:rPr>
      <w:rFonts w:asciiTheme="minorHAnsi" w:hAnsiTheme="minorHAnsi" w:eastAsiaTheme="minorHAnsi" w:cstheme="minorBidi"/>
      <w:lang w:eastAsia="en-US"/>
    </w:rPr>
  </w:style>
  <w:style w:type="character" w:styleId="980" w:customStyle="1">
    <w:name w:val="Текст примітки Знак"/>
    <w:basedOn w:val="770"/>
    <w:link w:val="979"/>
    <w:uiPriority w:val="99"/>
    <w:semiHidden/>
    <w:pPr>
      <w:pBdr/>
      <w:spacing/>
      <w:ind/>
    </w:pPr>
    <w:rPr>
      <w:rFonts w:asciiTheme="minorHAnsi" w:hAnsiTheme="minorHAnsi" w:eastAsiaTheme="minorHAnsi" w:cstheme="minorBidi"/>
      <w:lang w:eastAsia="en-US"/>
    </w:rPr>
  </w:style>
  <w:style w:type="character" w:styleId="981" w:customStyle="1">
    <w:name w:val="2563"/>
    <w:basedOn w:val="770"/>
    <w:pPr>
      <w:pBdr/>
      <w:spacing/>
      <w:ind/>
    </w:pPr>
  </w:style>
  <w:style w:type="paragraph" w:styleId="982" w:customStyle="1">
    <w:name w:val="docdata"/>
    <w:pPr>
      <w:pBdr/>
      <w:spacing w:after="100" w:afterAutospacing="1" w:before="100" w:beforeAutospacing="1"/>
      <w:ind/>
    </w:pPr>
    <w:rPr>
      <w:sz w:val="24"/>
      <w:szCs w:val="24"/>
    </w:rPr>
  </w:style>
  <w:style w:type="character" w:styleId="983" w:customStyle="1">
    <w:name w:val="7226"/>
    <w:basedOn w:val="770"/>
    <w:pPr>
      <w:pBdr/>
      <w:spacing/>
      <w:ind/>
    </w:pPr>
  </w:style>
  <w:style w:type="paragraph" w:styleId="984">
    <w:name w:val="Subtitle"/>
    <w:basedOn w:val="760"/>
    <w:next w:val="760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200"/>
      <w:ind/>
    </w:pPr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xEtA55EjcsU60Dnq1fz1wbEQRw==">CgMxLjAyDmguMXU5aXl6eGJxNGlwMg5oLmhwenNmZjF1c2NwMzIOaC4xM3ZoOWpscWpydnY4AHIhMUxrQjBEX3UxNWM4X29YbEdzdTZWb2p1cVAxbHBRNHNy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Adminov Admin </cp:lastModifiedBy>
  <cp:revision>8</cp:revision>
  <dcterms:created xsi:type="dcterms:W3CDTF">2025-07-11T12:40:00Z</dcterms:created>
  <dcterms:modified xsi:type="dcterms:W3CDTF">2025-07-28T07:54:26Z</dcterms:modified>
</cp:coreProperties>
</file>