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66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left="566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рішення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63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Менської міської ради 8 скликання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left="566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23 липня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after="0" w:line="240" w:lineRule="auto"/>
        <w:ind/>
        <w:rPr/>
      </w:pPr>
      <w:r/>
      <w:r/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ПАСПОРТ</w:t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Програми розвитку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індустріального парку “Менський”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Менської міської територіальної громади на 202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 рік</w:t>
      </w:r>
      <w:r>
        <w:rPr>
          <w:rFonts w:ascii="Times New Roman" w:hAnsi="Times New Roman" w:eastAsia="Times New Roman" w:cs="Times New Roman"/>
        </w:rPr>
      </w:r>
    </w:p>
    <w:tbl>
      <w:tblPr>
        <w:tblStyle w:val="942"/>
        <w:tblW w:w="982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068"/>
        <w:gridCol w:w="6753"/>
      </w:tblGrid>
      <w:tr>
        <w:trPr>
          <w:jc w:val="center"/>
          <w:trHeight w:val="454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Назва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Програма розвитку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індустріального парку “Менський”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Менської міської територіальної громади на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 рік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Дата, номер і назва документа про розробленн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Закон України «Про місцеве самоврядування в Україні» від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21.05.1997 №280/97-ВР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Закон України “Про індустріальні парки”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Розробники Програми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Співрозробники Програми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Відділ міжнародного співробітництва та економічного розвитку та інвестицій 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Фінансове управління 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Учасники Програми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Менська міська рада, керуюча компанія індустріальног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парку “Менський” ТОВ “БК “ВОЛМАКС”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Відповідальний виконавець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Менська міська рада</w:t>
            </w:r>
            <w:r/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Строк виконання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2025 рік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Обсяги та джерела фінансування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1360,0 тис.грн. з бюджету Менської міської  територіальної громади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 за виконанням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67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 ради, заступн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ики міського голови відповідно до розподілу функціональних обов’язків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Проєкт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рограми розвитку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індустріального парку “Менський”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Менської міської територіальної громади на 202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 рік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Програма розвитку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індустріального парку “Менський”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Менської міської територіальної громади на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рік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(далі – Програма) розроблена відповідно до Конституції України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Закону України „Про місцеве самоврядування в Україні”, та Закону України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“Про індустріальні парки”.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Вступ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Україна активно розвиває індуст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ріальні парки завдяки державним, регіональним і міжнародним програмам підтримки, які охоплюють фінансування інфраструктури, податкові стимули, експертну та інформаційну підтримку. Це створює сприятливі умови для інвесторів і сприяє економічному розвитку 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гіонів.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місцевому рівні підтримка індустріальних парків реалізується через цільові програми органів місцевого самоврядування, регіональні стратегії, грантові конкурси, партнерство з міжнародними донорами та агентствами розвитку. Це дозволяє громадам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лише залучати інвестиції, а й створювати сучасну інфраструктуру, робочі місця та умови для сталого економічного розвитку.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Визначення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проблем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, на розв’язання яких спрямована Програма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pBdr/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 метою забезпечення економічного розвитку Менської міської територіальної громади та Чернігівської області, активізації інвестиційної діяльності, створення нових робочих місць, розвитку сучасної виробничої інфраструктури рішенням 26 сесії Менської міської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ради 8 скликання від 23 листопада 2022 року №398 «Про створення індустріального парку «Менський» та затвердження Концепції індустріального парку «Менський» створено індустріальний парк «Менський» терміном на 30 років. Розпорядженням КМУ від 24 січня 2023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№62-р  індустріальний парк «Менський» включено до Реєстру індустріальних (промислових) парків. Менська міська рада, як ініціатор створення індустріального парку «Менський» провела конкурс з вибору керуючої компанії індустріального парку та визначила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ереможцем конкурсу  товариство з обмеженою відповідальністю «БК «ВОЛМАКС», що набуло статусу керуючої компанії індустріального парку «Менський». Реквізити керуючої компанії індустріального парку «Менський»: Товариство з обмеженою відповідальністю «Будівель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компанія «ВОЛМАКС», ЄДРПОУ 42740436, електронна пошта </w:t>
      </w:r>
      <w:hyperlink r:id="rId14" w:tooltip="mailto:bkvolmaks@gmail.com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bkvolmaks@gmail.com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. Директор Булавка Володимир Олександрович. Місце знаходження: Україна, 15600, Чернігівська область, місто Мена, вул.Сіверський шлях,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146Б.  Договір про створення та функціонування індустріального парку «Менський» укладено між Менською міською радою та товариством з обмеженою відповідальністю «БК «ВОЛМАКС» 18 жовтня 2024 року.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pBdr/>
        <w:spacing w:after="20" w:before="20" w:line="240" w:lineRule="auto"/>
        <w:ind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Одне з головних завдань індустріального парку надати інвестор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 можливість швидко розпочати виробництво на підготовленій території, де вже є необхідна інженерна та транспортна інфраструктура.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Однак, як і у більшості індустріальних парків, створених на комунальній землі, головною проблемою є відсутність коштів на 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удівництво цієї інфраструктури та підключення до зовнішніх мереж.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20" w:before="20" w:line="240" w:lineRule="auto"/>
        <w:ind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Індустріальний парк «Менський» наразі також не має жодної інженерної підготовки, тому потребує інвестицій. Із-за цього його розвиток затримується, а потенційні інвестори не отримують конкретних умов для розміщення своїх підприємств.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Мета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Програми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240" w:before="240" w:line="240" w:lineRule="auto"/>
        <w:ind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Метою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ограми є створення початкових організаційно-технічних умов для розвитку індустріального парку «Менський» шляхом фінансування та реалізації передпроєктних і проєктних робіт, пов’язаних із підготовкою земельної ділянки, оцінкою її вартості, розробкою інженер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ної інфраструктури, а також технічного підключення до енергетичних та транспортних мереж.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Шляхи і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способи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розв’язання проблеми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Індустріальний парк є дієвим інструментом для активізації інвестиційної діяльності, залучення інвестицій, забезпечення збалансова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територіального розвитку, впровадження новітніх технологій у промисловому виробництві, підтримки місцевих виробників, сприяння малому та середньому підприємництву тощо.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pBdr/>
        <w:spacing w:after="20" w:before="20" w:line="240" w:lineRule="auto"/>
        <w:ind w:firstLine="566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розвитку індустріального парку «Менський» першочергово необхідно підготувати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земельну ділянку до будівництва - провести вишукувальні роботи, розробити проєктну документацію, визначити технічні умови для підключення до зовнішніх інженерних мереж.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/>
        <w:spacing w:after="20" w:before="20" w:line="240" w:lineRule="auto"/>
        <w:ind w:firstLine="566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 2025 році планується профінансувати початкові технічні заходи за участі керуючої комп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анії, а саме: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2"/>
        </w:numPr>
        <w:pBdr/>
        <w:spacing w:after="0" w:before="20" w:line="240" w:lineRule="auto"/>
        <w:ind w:firstLine="566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виконання інженерно-геологічних та геодезичних вишукувань;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2"/>
        </w:numPr>
        <w:pBdr/>
        <w:spacing w:after="0" w:line="240" w:lineRule="auto"/>
        <w:ind w:firstLine="566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підготовка проєктної документації;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2"/>
        </w:numPr>
        <w:pBdr/>
        <w:spacing w:after="20" w:line="240" w:lineRule="auto"/>
        <w:ind w:firstLine="566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консультування щодо розвитку інфраструктури парку.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/>
        <w:spacing w:after="20" w:before="20" w:line="240" w:lineRule="auto"/>
        <w:ind w:firstLine="566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 дасть можливість розпочати формування повноцінної інженерної та транспортної інфраструктури, залучати інвесторів, а також брати участь у програмах фінансової підтримки з державного, обласного та міжнародного рівнів.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Основні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завдання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та напрямки діяльно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сті Програми: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20" w:before="20" w:line="240" w:lineRule="auto"/>
        <w:ind w:firstLine="566"/>
        <w:jc w:val="both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Програма розвитку індустріального парку “Менський” на території Менської міської ТГ на 2025 рік відповідає Стратегії розвитку Менської міської територіальної громади на період до 2027 року та Стратегії сталого розвитку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Чернігівської області до 2027 року 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сприяє економічному зростанню, соціальній стабільності і підвищенню якості життя у Менській громаді.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20" w:before="2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 межах Програми на 2025 рік передбачено здійснення комплексу заходів, спрямованих на початкову технічну підготовку індустріального парку «Менський» для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одальшого облаштування та залучення інвесторів.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20" w:before="2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Пріоритетні завдання та напрями Програми: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5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tabs>
          <w:tab w:val="left" w:leader="none" w:pos="850"/>
        </w:tabs>
        <w:spacing w:after="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Розробка проєктної документації з підключення до інженерних мереж (електропостачання, газопостачання, залізнична інфраструктура тощо).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5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tabs>
          <w:tab w:val="left" w:leader="none" w:pos="850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Проведення інженерно-геодезичних та геологічних вишукувань на території парку.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5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tabs>
          <w:tab w:val="left" w:leader="none" w:pos="850"/>
        </w:tabs>
        <w:spacing w:after="0" w:line="240" w:lineRule="auto"/>
        <w:ind w:firstLine="566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Підготовка до участі у державних, регіональних та міжнародних програмах фінансування розвитку інфраструктури.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5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tabs>
          <w:tab w:val="left" w:leader="none" w:pos="850"/>
        </w:tabs>
        <w:spacing w:after="0" w:line="240" w:lineRule="auto"/>
        <w:ind w:firstLine="566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Організація ефективної взаємодії між Менською міською радою, керуюч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ою компанією та іншими учасниками процесу.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5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tabs>
          <w:tab w:val="left" w:leader="none" w:pos="850"/>
        </w:tabs>
        <w:spacing w:after="20" w:line="240" w:lineRule="auto"/>
        <w:ind w:firstLine="566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Формування технічної та інформаційної бази для подальшої промоції індустріального парку серед потенційних інвесторів.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20" w:before="2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Ці дії дозволять завершити початковий етап формування індустріального парку, забезпечити технічну готовність земельної ділянки до інженерного облаштування та створити умови для залучення резидентів у наступні роки.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20" w:before="2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Обсяги та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джерела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фінансування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keepLines w:val="true"/>
        <w:pBdr/>
        <w:shd w:val="clear" w:color="auto" w:fill="ffffff"/>
        <w:spacing w:after="20" w:before="20" w:line="240" w:lineRule="auto"/>
        <w:ind w:firstLine="46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Під час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ланування залучення фінансування на створення та розвиток індустріального парку «Менський» враховувались вимоги ст. 12 Закону України «Про індустріальні парки», згідно з якими джерелами фінансування облаштування індустріального парку можуть бути: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keepLines w:val="true"/>
        <w:numPr>
          <w:ilvl w:val="0"/>
          <w:numId w:val="3"/>
        </w:numPr>
        <w:pBdr/>
        <w:shd w:val="clear" w:color="auto" w:fill="ffffff"/>
        <w:spacing w:after="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кошти дер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жавного та місцевих бюджетів, виділені в порядку та обсягах, передбачених законодавством;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keepLines w:val="true"/>
        <w:numPr>
          <w:ilvl w:val="0"/>
          <w:numId w:val="3"/>
        </w:numPr>
        <w:pBdr/>
        <w:shd w:val="clear" w:color="auto" w:fill="ffffff"/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кошти приватних інвесторів, у тому числі залучені за моделлю державно-приватного партнерства;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keepLines w:val="true"/>
        <w:numPr>
          <w:ilvl w:val="0"/>
          <w:numId w:val="1"/>
        </w:numPr>
        <w:pBdr/>
        <w:shd w:val="clear" w:color="auto" w:fill="ffffff"/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залучені кошти, включаючи кредити банків та інших фінансово-кредитних ус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танов;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keepLines w:val="true"/>
        <w:numPr>
          <w:ilvl w:val="0"/>
          <w:numId w:val="6"/>
        </w:numPr>
        <w:pBdr/>
        <w:shd w:val="clear" w:color="auto" w:fill="ffffff"/>
        <w:spacing w:after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кошти з інших джерел, не заборонених законодавством.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Фінансування реалізації Програми здійснюватиметься за рахунок коштів бюджету громади в межах наявного фінансового ресурсу, а також з інших джерел, не заборонених законодавством.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keepLines w:val="true"/>
        <w:pBdr/>
        <w:spacing w:after="240" w:before="240" w:line="240" w:lineRule="auto"/>
        <w:ind w:right="2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 межах Програми бюджетні кошти будуть використані для компенсації витрат керуючої компанії, яка здійснює проектні та вишукувальні роботи, необхідні для підготовки території індустріального парку «Менський» до подальшого облаштування.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Обсяг фінансування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аходів програми на  2025 рік - 1360 тис.грн.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keepLines w:val="true"/>
        <w:pBdr/>
        <w:spacing w:after="0" w:line="240" w:lineRule="auto"/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Термін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виконання Програми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Програма діє протягом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року.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Виконання визначених Програмою завдань здійснюється шляхом послідовної реалізації впродовж зазначеного періоду заходів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Внесення змін до плану заходів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Програми та термінів їх виконання здійснюватиметься за необхідністю.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Очікувані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результати: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tabs>
          <w:tab w:val="left" w:leader="none" w:pos="850"/>
        </w:tabs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Підготовлено технічну та проєктну базу для початку інфраструктурного облаштування індустріального парку «Менський»: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виконано інженерно-геодезичні та геологічні вишукування;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підготовлено проєктно-кошторисну документацію з підключення до інженерних мереж;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отримано консультативні та технічні висновки щодо подальшого розвитку території.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tabs>
          <w:tab w:val="left" w:leader="none" w:pos="850"/>
        </w:tabs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Створено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умови для залучення інвестицій: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підвищено рівень готовності території до розміщення виробничих об’єктів;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підвищено інвестиційну привабливість індустріального парку завдяки наявності початкової проєктної документації.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tabs>
          <w:tab w:val="left" w:leader="none" w:pos="850"/>
        </w:tabs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Зміцнено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інституційну спроможн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ість громади у сфері економічного розвитку: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налагоджено координацію між органами місцевого самоврядування, керуючою компанією та технічними партнерами;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розширено можливості громади щодо участі у державних, регіональних і міжнародних програмах фінансування.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tabs>
          <w:tab w:val="left" w:leader="none" w:pos="850"/>
        </w:tabs>
        <w:spacing w:after="2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Закладено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підґрунтя для наступних етапів реалізації проєкту: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0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0" w:before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облаштування інженерної та транспортної інфраструктури;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0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залучення перших резидентів;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0"/>
        </w:num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spacing w:after="20" w:line="240" w:lineRule="auto"/>
        <w:ind w:firstLine="57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створення нових робочих місць у середньостроковій перспективі.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jc w:val="right"/>
      <w:rPr>
        <w:rFonts w:ascii="Times New Roman" w:hAnsi="Times New Roman" w:eastAsia="Times New Roman" w:cs="Times New Roman"/>
        <w:i/>
        <w:color w:val="000000"/>
        <w:sz w:val="24"/>
        <w:szCs w:val="24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2</w:t>
    </w:r>
    <w:r>
      <w:rPr>
        <w:color w:val="000000"/>
      </w:rPr>
      <w:fldChar w:fldCharType="end"/>
    </w:r>
    <w:r>
      <w:rPr>
        <w:rFonts w:ascii="Times New Roman" w:hAnsi="Times New Roman" w:eastAsia="Times New Roman" w:cs="Times New Roman"/>
        <w:i/>
        <w:color w:val="000000"/>
        <w:sz w:val="24"/>
        <w:szCs w:val="24"/>
      </w:rPr>
      <w:t xml:space="preserve">                                             продовження додатка</w:t>
    </w:r>
    <w:r>
      <w:rPr>
        <w:rFonts w:ascii="Times New Roman" w:hAnsi="Times New Roman" w:eastAsia="Times New Roman" w:cs="Times New Roman"/>
        <w:i/>
        <w:color w:val="000000"/>
        <w:sz w:val="24"/>
        <w:szCs w:val="24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720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792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720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792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2160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80"/>
      </w:pPr>
      <w:rPr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360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40"/>
      </w:pPr>
      <w:rPr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576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20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7920"/>
      </w:pPr>
      <w:rPr>
        <w:u w:val="none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  <w:shd w:val="clear" w:color="auto" w:fill="auto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720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7920"/>
      </w:pPr>
      <w:rPr>
        <w:u w:val="none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" w:eastAsia="uk-UA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4">
    <w:name w:val="Endnote Text Char"/>
    <w:basedOn w:val="744"/>
    <w:link w:val="858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4" w:default="1">
    <w:name w:val="Normal"/>
    <w:pPr>
      <w:pBdr/>
      <w:spacing/>
      <w:ind/>
    </w:pPr>
  </w:style>
  <w:style w:type="paragraph" w:styleId="735">
    <w:name w:val="Heading 1"/>
    <w:basedOn w:val="734"/>
    <w:next w:val="734"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6">
    <w:name w:val="Heading 2"/>
    <w:basedOn w:val="734"/>
    <w:next w:val="734"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  <w:szCs w:val="34"/>
    </w:rPr>
  </w:style>
  <w:style w:type="paragraph" w:styleId="737">
    <w:name w:val="Heading 3"/>
    <w:basedOn w:val="734"/>
    <w:next w:val="734"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sz w:val="26"/>
      <w:szCs w:val="26"/>
    </w:rPr>
  </w:style>
  <w:style w:type="paragraph" w:styleId="739">
    <w:name w:val="Heading 5"/>
    <w:basedOn w:val="734"/>
    <w:next w:val="734"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sz w:val="24"/>
      <w:szCs w:val="24"/>
    </w:rPr>
  </w:style>
  <w:style w:type="paragraph" w:styleId="740">
    <w:name w:val="Heading 6"/>
    <w:basedOn w:val="734"/>
    <w:next w:val="734"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</w:rPr>
  </w:style>
  <w:style w:type="paragraph" w:styleId="741">
    <w:name w:val="Heading 7"/>
    <w:link w:val="88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2">
    <w:name w:val="Heading 8"/>
    <w:link w:val="88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3">
    <w:name w:val="Heading 9"/>
    <w:link w:val="886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  <w:pPr>
      <w:pBdr/>
      <w:spacing/>
      <w:ind/>
    </w:pPr>
  </w:style>
  <w:style w:type="table" w:styleId="7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6" w:default="1">
    <w:name w:val="No List"/>
    <w:uiPriority w:val="99"/>
    <w:semiHidden/>
    <w:unhideWhenUsed/>
    <w:pPr>
      <w:pBdr/>
      <w:spacing/>
      <w:ind/>
    </w:pPr>
  </w:style>
  <w:style w:type="table" w:styleId="747" w:customStyle="1">
    <w:name w:val="Table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8">
    <w:name w:val="Title"/>
    <w:basedOn w:val="734"/>
    <w:next w:val="734"/>
    <w:pPr>
      <w:pBdr/>
      <w:spacing w:before="300"/>
      <w:ind/>
    </w:pPr>
    <w:rPr>
      <w:sz w:val="48"/>
      <w:szCs w:val="48"/>
    </w:rPr>
  </w:style>
  <w:style w:type="table" w:styleId="749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0">
    <w:name w:val="Caption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51" w:customStyle="1">
    <w:name w:val="Caption Char"/>
    <w:uiPriority w:val="99"/>
    <w:pPr>
      <w:pBdr/>
      <w:spacing/>
      <w:ind/>
    </w:pPr>
  </w:style>
  <w:style w:type="table" w:styleId="752" w:customStyle="1">
    <w:name w:val="Table Grid Light"/>
    <w:basedOn w:val="74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74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74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1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2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3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5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6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endnote text"/>
    <w:link w:val="85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9" w:customStyle="1">
    <w:name w:val="Текст кінцевої виноски Знак"/>
    <w:link w:val="858"/>
    <w:uiPriority w:val="99"/>
    <w:pPr>
      <w:pBdr/>
      <w:spacing/>
      <w:ind/>
    </w:pPr>
    <w:rPr>
      <w:sz w:val="20"/>
    </w:rPr>
  </w:style>
  <w:style w:type="character" w:styleId="860">
    <w:name w:val="endnote reference"/>
    <w:basedOn w:val="744"/>
    <w:uiPriority w:val="99"/>
    <w:semiHidden/>
    <w:unhideWhenUsed/>
    <w:pPr>
      <w:pBdr/>
      <w:spacing/>
      <w:ind/>
    </w:pPr>
    <w:rPr>
      <w:vertAlign w:val="superscript"/>
    </w:rPr>
  </w:style>
  <w:style w:type="paragraph" w:styleId="861">
    <w:name w:val="table of figures"/>
    <w:uiPriority w:val="99"/>
    <w:unhideWhenUsed/>
    <w:pPr>
      <w:pBdr/>
      <w:spacing w:after="0"/>
      <w:ind/>
    </w:pPr>
  </w:style>
  <w:style w:type="character" w:styleId="862" w:customStyle="1">
    <w:name w:val="Heading 1 Char"/>
    <w:basedOn w:val="74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3" w:customStyle="1">
    <w:name w:val="Heading 2 Char"/>
    <w:basedOn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4" w:customStyle="1">
    <w:name w:val="Heading 3 Char"/>
    <w:basedOn w:val="7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5" w:customStyle="1">
    <w:name w:val="Heading 4 Char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6" w:customStyle="1">
    <w:name w:val="Heading 5 Char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7" w:customStyle="1">
    <w:name w:val="Heading 6 Char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8" w:customStyle="1">
    <w:name w:val="Heading 7 Char"/>
    <w:basedOn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9" w:customStyle="1">
    <w:name w:val="Heading 8 Char"/>
    <w:basedOn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0" w:customStyle="1">
    <w:name w:val="Heading 9 Char"/>
    <w:basedOn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71" w:customStyle="1">
    <w:name w:val="Title Char"/>
    <w:basedOn w:val="744"/>
    <w:uiPriority w:val="10"/>
    <w:pPr>
      <w:pBdr/>
      <w:spacing/>
      <w:ind/>
    </w:pPr>
    <w:rPr>
      <w:sz w:val="48"/>
      <w:szCs w:val="48"/>
    </w:rPr>
  </w:style>
  <w:style w:type="character" w:styleId="872" w:customStyle="1">
    <w:name w:val="Subtitle Char"/>
    <w:basedOn w:val="744"/>
    <w:uiPriority w:val="11"/>
    <w:pPr>
      <w:pBdr/>
      <w:spacing/>
      <w:ind/>
    </w:pPr>
    <w:rPr>
      <w:sz w:val="24"/>
      <w:szCs w:val="24"/>
    </w:rPr>
  </w:style>
  <w:style w:type="character" w:styleId="873" w:customStyle="1">
    <w:name w:val="Quote Char"/>
    <w:uiPriority w:val="29"/>
    <w:pPr>
      <w:pBdr/>
      <w:spacing/>
      <w:ind/>
    </w:pPr>
    <w:rPr>
      <w:i/>
    </w:rPr>
  </w:style>
  <w:style w:type="character" w:styleId="874" w:customStyle="1">
    <w:name w:val="Intense Quote Char"/>
    <w:uiPriority w:val="30"/>
    <w:pPr>
      <w:pBdr/>
      <w:spacing/>
      <w:ind/>
    </w:pPr>
    <w:rPr>
      <w:i/>
    </w:rPr>
  </w:style>
  <w:style w:type="character" w:styleId="875" w:customStyle="1">
    <w:name w:val="Header Char"/>
    <w:basedOn w:val="744"/>
    <w:uiPriority w:val="99"/>
    <w:pPr>
      <w:pBdr/>
      <w:spacing/>
      <w:ind/>
    </w:pPr>
  </w:style>
  <w:style w:type="character" w:styleId="876" w:customStyle="1">
    <w:name w:val="Footer Char"/>
    <w:basedOn w:val="744"/>
    <w:uiPriority w:val="99"/>
    <w:pPr>
      <w:pBdr/>
      <w:spacing/>
      <w:ind/>
    </w:pPr>
  </w:style>
  <w:style w:type="character" w:styleId="877" w:customStyle="1">
    <w:name w:val="Footnote Text Char"/>
    <w:uiPriority w:val="99"/>
    <w:pPr>
      <w:pBdr/>
      <w:spacing/>
      <w:ind/>
    </w:pPr>
    <w:rPr>
      <w:sz w:val="18"/>
    </w:rPr>
  </w:style>
  <w:style w:type="character" w:styleId="878" w:customStyle="1">
    <w:name w:val="Заголовок 1 Знак"/>
    <w:basedOn w:val="74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9" w:customStyle="1">
    <w:name w:val="Заголовок 2 Знак"/>
    <w:basedOn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80" w:customStyle="1">
    <w:name w:val="Заголовок 3 Знак"/>
    <w:basedOn w:val="7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81" w:customStyle="1">
    <w:name w:val="Заголовок 4 Знак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82" w:customStyle="1">
    <w:name w:val="Заголовок 5 Знак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83" w:customStyle="1">
    <w:name w:val="Заголовок 6 Знак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4" w:customStyle="1">
    <w:name w:val="Заголовок 7 Знак"/>
    <w:basedOn w:val="744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 w:customStyle="1">
    <w:name w:val="Заголовок 8 Знак"/>
    <w:basedOn w:val="744"/>
    <w:link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6" w:customStyle="1">
    <w:name w:val="Заголовок 9 Знак"/>
    <w:basedOn w:val="744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7">
    <w:name w:val="List Paragraph"/>
    <w:uiPriority w:val="34"/>
    <w:qFormat/>
    <w:pPr>
      <w:pBdr/>
      <w:spacing/>
      <w:ind w:left="720"/>
      <w:contextualSpacing w:val="true"/>
    </w:pPr>
  </w:style>
  <w:style w:type="paragraph" w:styleId="888">
    <w:name w:val="No Spacing"/>
    <w:uiPriority w:val="1"/>
    <w:qFormat/>
    <w:pPr>
      <w:pBdr/>
      <w:spacing w:after="0" w:line="240" w:lineRule="auto"/>
      <w:ind/>
    </w:pPr>
  </w:style>
  <w:style w:type="character" w:styleId="889" w:customStyle="1">
    <w:name w:val="Назва Знак"/>
    <w:basedOn w:val="744"/>
    <w:uiPriority w:val="10"/>
    <w:pPr>
      <w:pBdr/>
      <w:spacing/>
      <w:ind/>
    </w:pPr>
    <w:rPr>
      <w:sz w:val="48"/>
      <w:szCs w:val="48"/>
    </w:rPr>
  </w:style>
  <w:style w:type="character" w:styleId="890" w:customStyle="1">
    <w:name w:val="Підзаголовок Знак"/>
    <w:basedOn w:val="744"/>
    <w:uiPriority w:val="11"/>
    <w:pPr>
      <w:pBdr/>
      <w:spacing/>
      <w:ind/>
    </w:pPr>
    <w:rPr>
      <w:sz w:val="24"/>
      <w:szCs w:val="24"/>
    </w:rPr>
  </w:style>
  <w:style w:type="paragraph" w:styleId="891">
    <w:name w:val="Quote"/>
    <w:link w:val="892"/>
    <w:uiPriority w:val="29"/>
    <w:qFormat/>
    <w:pPr>
      <w:pBdr/>
      <w:spacing/>
      <w:ind w:right="720" w:left="720"/>
    </w:pPr>
    <w:rPr>
      <w:i/>
    </w:rPr>
  </w:style>
  <w:style w:type="character" w:styleId="892" w:customStyle="1">
    <w:name w:val="Цитата Знак"/>
    <w:link w:val="891"/>
    <w:uiPriority w:val="29"/>
    <w:pPr>
      <w:pBdr/>
      <w:spacing/>
      <w:ind/>
    </w:pPr>
    <w:rPr>
      <w:i/>
    </w:rPr>
  </w:style>
  <w:style w:type="paragraph" w:styleId="893">
    <w:name w:val="Intense Quote"/>
    <w:link w:val="89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4" w:customStyle="1">
    <w:name w:val="Насичена цитата Знак"/>
    <w:link w:val="893"/>
    <w:uiPriority w:val="30"/>
    <w:pPr>
      <w:pBdr/>
      <w:spacing/>
      <w:ind/>
    </w:pPr>
    <w:rPr>
      <w:i/>
    </w:rPr>
  </w:style>
  <w:style w:type="paragraph" w:styleId="895">
    <w:name w:val="Header"/>
    <w:link w:val="89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96" w:customStyle="1">
    <w:name w:val="Верхній колонтитул Знак"/>
    <w:basedOn w:val="744"/>
    <w:link w:val="895"/>
    <w:uiPriority w:val="99"/>
    <w:pPr>
      <w:pBdr/>
      <w:spacing/>
      <w:ind/>
    </w:pPr>
  </w:style>
  <w:style w:type="paragraph" w:styleId="897">
    <w:name w:val="Footer"/>
    <w:link w:val="8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98" w:customStyle="1">
    <w:name w:val="Нижній колонтитул Знак"/>
    <w:basedOn w:val="744"/>
    <w:link w:val="897"/>
    <w:uiPriority w:val="99"/>
    <w:pPr>
      <w:pBdr/>
      <w:spacing/>
      <w:ind/>
    </w:pPr>
  </w:style>
  <w:style w:type="table" w:styleId="899">
    <w:name w:val="Table Grid"/>
    <w:basedOn w:val="74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1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2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3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4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5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6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1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2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3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4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5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6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2">
    <w:name w:val="footnote text"/>
    <w:link w:val="9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3" w:customStyle="1">
    <w:name w:val="Текст виноски Знак"/>
    <w:link w:val="922"/>
    <w:uiPriority w:val="99"/>
    <w:pPr>
      <w:pBdr/>
      <w:spacing/>
      <w:ind/>
    </w:pPr>
    <w:rPr>
      <w:sz w:val="18"/>
    </w:rPr>
  </w:style>
  <w:style w:type="character" w:styleId="924">
    <w:name w:val="footnote reference"/>
    <w:basedOn w:val="744"/>
    <w:uiPriority w:val="99"/>
    <w:unhideWhenUsed/>
    <w:pPr>
      <w:pBdr/>
      <w:spacing/>
      <w:ind/>
    </w:pPr>
    <w:rPr>
      <w:vertAlign w:val="superscript"/>
    </w:rPr>
  </w:style>
  <w:style w:type="paragraph" w:styleId="925">
    <w:name w:val="toc 1"/>
    <w:uiPriority w:val="39"/>
    <w:unhideWhenUsed/>
    <w:pPr>
      <w:pBdr/>
      <w:spacing w:after="57"/>
      <w:ind/>
    </w:pPr>
  </w:style>
  <w:style w:type="paragraph" w:styleId="926">
    <w:name w:val="toc 2"/>
    <w:uiPriority w:val="39"/>
    <w:unhideWhenUsed/>
    <w:pPr>
      <w:pBdr/>
      <w:spacing w:after="57"/>
      <w:ind w:left="283"/>
    </w:pPr>
  </w:style>
  <w:style w:type="paragraph" w:styleId="927">
    <w:name w:val="toc 3"/>
    <w:uiPriority w:val="39"/>
    <w:unhideWhenUsed/>
    <w:pPr>
      <w:pBdr/>
      <w:spacing w:after="57"/>
      <w:ind w:left="567"/>
    </w:pPr>
  </w:style>
  <w:style w:type="paragraph" w:styleId="928">
    <w:name w:val="toc 4"/>
    <w:uiPriority w:val="39"/>
    <w:unhideWhenUsed/>
    <w:pPr>
      <w:pBdr/>
      <w:spacing w:after="57"/>
      <w:ind w:left="850"/>
    </w:pPr>
  </w:style>
  <w:style w:type="paragraph" w:styleId="929">
    <w:name w:val="toc 5"/>
    <w:uiPriority w:val="39"/>
    <w:unhideWhenUsed/>
    <w:pPr>
      <w:pBdr/>
      <w:spacing w:after="57"/>
      <w:ind w:left="1134"/>
    </w:pPr>
  </w:style>
  <w:style w:type="paragraph" w:styleId="930">
    <w:name w:val="toc 6"/>
    <w:uiPriority w:val="39"/>
    <w:unhideWhenUsed/>
    <w:pPr>
      <w:pBdr/>
      <w:spacing w:after="57"/>
      <w:ind w:left="1417"/>
    </w:pPr>
  </w:style>
  <w:style w:type="paragraph" w:styleId="931">
    <w:name w:val="toc 7"/>
    <w:uiPriority w:val="39"/>
    <w:unhideWhenUsed/>
    <w:pPr>
      <w:pBdr/>
      <w:spacing w:after="57"/>
      <w:ind w:left="1701"/>
    </w:pPr>
  </w:style>
  <w:style w:type="paragraph" w:styleId="932">
    <w:name w:val="toc 8"/>
    <w:uiPriority w:val="39"/>
    <w:unhideWhenUsed/>
    <w:pPr>
      <w:pBdr/>
      <w:spacing w:after="57"/>
      <w:ind w:left="1984"/>
    </w:pPr>
  </w:style>
  <w:style w:type="paragraph" w:styleId="933">
    <w:name w:val="toc 9"/>
    <w:uiPriority w:val="39"/>
    <w:unhideWhenUsed/>
    <w:pPr>
      <w:pBdr/>
      <w:spacing w:after="57"/>
      <w:ind w:left="2268"/>
    </w:pPr>
  </w:style>
  <w:style w:type="paragraph" w:styleId="934">
    <w:name w:val="TOC Heading"/>
    <w:uiPriority w:val="39"/>
    <w:unhideWhenUsed/>
    <w:pPr>
      <w:pBdr/>
      <w:spacing/>
      <w:ind/>
    </w:pPr>
  </w:style>
  <w:style w:type="paragraph" w:styleId="935">
    <w:name w:val="Balloon Text"/>
    <w:link w:val="93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6" w:customStyle="1">
    <w:name w:val="Текст у виносці Знак"/>
    <w:basedOn w:val="744"/>
    <w:link w:val="93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7" w:customStyle="1">
    <w:name w:val="rvts44"/>
    <w:uiPriority w:val="99"/>
    <w:pPr>
      <w:pBdr/>
      <w:spacing/>
      <w:ind/>
    </w:pPr>
    <w:rPr>
      <w:rFonts w:cs="Times New Roman"/>
    </w:rPr>
  </w:style>
  <w:style w:type="paragraph" w:styleId="938" w:customStyle="1">
    <w:name w:val="Standar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uk-UA" w:eastAsia="zh-CN"/>
    </w:rPr>
  </w:style>
  <w:style w:type="paragraph" w:styleId="939" w:customStyle="1">
    <w:name w:val="ДинТекстОбыч"/>
    <w:uiPriority w:val="99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hanging="355" w:left="1287"/>
      <w:jc w:val="both"/>
    </w:pPr>
    <w:rPr>
      <w:rFonts w:ascii="Times New Roman" w:hAnsi="Times New Roman" w:eastAsia="Times New Roman" w:cs="Times New Roman"/>
      <w:color w:val="000000"/>
      <w:sz w:val="28"/>
      <w:szCs w:val="20"/>
      <w:lang w:val="uk-UA" w:eastAsia="en-US"/>
    </w:rPr>
  </w:style>
  <w:style w:type="table" w:styleId="940" w:customStyle="1">
    <w:name w:val="StGen0"/>
    <w:basedOn w:val="749"/>
    <w:pPr>
      <w:pBdr/>
      <w:spacing/>
      <w:ind/>
    </w:pPr>
    <w:tblPr>
      <w:tblStyleRowBandSize w:val="1"/>
      <w:tblStyleColBandSize w:val="1"/>
      <w:tblBorders/>
      <w:tblCellMar>
        <w:left w:w="105" w:type="dxa"/>
        <w:top w:w="0" w:type="dxa"/>
        <w:right w:w="105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1">
    <w:name w:val="Subtitle"/>
    <w:basedOn w:val="734"/>
    <w:next w:val="73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200"/>
      <w:ind/>
    </w:pPr>
    <w:rPr>
      <w:color w:val="000000"/>
      <w:sz w:val="24"/>
      <w:szCs w:val="24"/>
    </w:rPr>
  </w:style>
  <w:style w:type="table" w:styleId="942" w:customStyle="1">
    <w:name w:val="StGen1"/>
    <w:basedOn w:val="749"/>
    <w:pPr>
      <w:pBdr/>
      <w:spacing/>
      <w:ind/>
    </w:pPr>
    <w:tblPr>
      <w:tblStyleRowBandSize w:val="1"/>
      <w:tblStyleColBandSize w:val="1"/>
      <w:tblBorders/>
      <w:tblCellMar>
        <w:left w:w="105" w:type="dxa"/>
        <w:top w:w="0" w:type="dxa"/>
        <w:right w:w="105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mailto:bkvolmaks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ZNGEv3+38TBympejic/AXK7TKg==">CgMxLjA4AHIhMXhncVBnTmZNTzFsOXFBejlLS1JpMUhvdHAyVGRHWExr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 С.В.</dc:creator>
  <cp:lastModifiedBy>СТАЛЬНИЧЕНКО Юрій Валерійович</cp:lastModifiedBy>
  <cp:revision>3</cp:revision>
  <dcterms:created xsi:type="dcterms:W3CDTF">2025-07-07T13:44:00Z</dcterms:created>
  <dcterms:modified xsi:type="dcterms:W3CDTF">2025-07-14T14:24:32Z</dcterms:modified>
</cp:coreProperties>
</file>