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будинку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3,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міській раді встановлено 26 депутатських мандатів, обрано 26 депутатів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 депутат склав повноваження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сесії зареєстровано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присутні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в, відсутні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Карпенко Олександр Петрович, завідувач сектору фізичної культури і спорту, виконуючий обов’язки завідувача сектору оборонної роботи, цивільного захисту населення та роботи з правоохоронними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органами Менської міської ради;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Лук’яненко Ірина Федорівна, начальник Відділу освіти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Марцева Тетяна Іванівна, начальник юридичного відділу;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Прищепа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асилівна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аступник міського голови з питань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зайняти визначені місця і відкрив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Україні» та ст.19, 20 Регламенту Менської міської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ьогодні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ознайомив депутатів з запропонованим порядком денним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за результатом розгляду питань на засіданні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з питань містобудування, будівництва, земельних відносин та охорони природи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запропоновано виключити з порядку денного і відправити на доопрацювання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з подальшим продажем права оренди на земельних торгах»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торгівлі орієнтовною площею 0,0040 га,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Піщанівська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чий поставив на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дану пропозицію.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Виключити з порядку денного питання 364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Порядку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знаків на території Менської міської територіальної громади» на проект ріше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 «Про внесення змін до Програми соціальної підтримки жителів Менської міської територіальної громади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 Валерійович запропонував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виключити з порядку денного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Порядку встанов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лення меморіальних дошок та пам’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ятних знаків на території Менської міської територіальної громади»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 «Про внесення змін до Програми соціальної підтримки жителів Менської міської територіальної громади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дану пропозицію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Виключити з порядку денного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380 «Про затвердження Порядку встановлення меморіальних дошок та пам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ятних знаків на території Менської міської територіальної громади» на проект рішення 380 «Про внесення змін до Програми соціальної підтримки жителів Менської міської територіальної громади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пропозиції депутатів Менської міської ради В.Хоменко, М.Москальчук, заступника міського голови з питань діяльності виконавчих органів ради В.Прищепи та секретаря ради Ю.Стальниченко, головуючий запропо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нував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підтримки жителів Менської міської територіальної громади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дану пропозицію.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41"/>
        <w:suppressLineNumbers w:val="false"/>
        <w:pBdr/>
        <w:tabs>
          <w:tab w:val="left" w:leader="none" w:pos="709"/>
        </w:tabs>
        <w:spacing w:after="0" w:afterAutospacing="0" w:before="0" w:beforeAutospacing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Включити до порядку денного питання </w:t>
      </w:r>
      <w:r>
        <w:rPr>
          <w:sz w:val="28"/>
          <w:szCs w:val="28"/>
          <w:lang w:val="uk-UA"/>
        </w:rPr>
        <w:t xml:space="preserve">«Про внесення змін до Програми соціальної підтримки жителів Менської міської територіальної громади на 2025-2027 роки».</w:t>
      </w:r>
      <w:r>
        <w:rPr>
          <w:sz w:val="28"/>
          <w:szCs w:val="28"/>
          <w:lang w:val="uk-UA"/>
        </w:rPr>
      </w:r>
    </w:p>
    <w:p>
      <w:pPr>
        <w:pStyle w:val="941"/>
        <w:suppressLineNumbers w:val="false"/>
        <w:pBdr/>
        <w:tabs>
          <w:tab w:val="left" w:leader="none" w:pos="709"/>
        </w:tabs>
        <w:spacing w:after="0" w:afterAutospacing="0" w:before="0" w:beforeAutospacing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 за основу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врахуванням внесених змін, а саме: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внутрішньої системи опалення котельні по вул. Гімназійна 1 А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з улаштуванням блочно-модульної твердопаливної котельні БМК-1200 для використання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якості резервної (аварійної)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майна до переліку об’єктів комунальної власності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інформаційної картки адміністративної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Муніципального енергетичного плану Менської міської територіальної громади та додатків до 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дії генеральних планів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орендованих земельних ділянок 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документації із землеустрою щодо поділу земельної ділянки, що перебуває в орендному користуванні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земельних ділянок, що перебувають в оренді у ФГ «СВІТАНОК ЧЕРНІГІВЩИНИ» до переліку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ділянок, які підлягають продажу.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договору оренди землі, укладеного з Корнієнком В.В.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Бурці І.О.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тимчасового користування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невитребуваними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 ділянками (паями) за межами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з метою передачі невитребуваних земельних ділянок (паїв) в оренду ТОВ «ГАРДЕНФИЛД»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ТОВ «МЕНА-АВАНГАРД» технічної документації із землеустрою по встановленню (відновленню) меж земельних ділянок (під польовими доро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гами) з метою передачі в оренду.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з метою передачі невитребуваних земельних ділянок (паїв) в оренду ТОВ «ГРІН-ГРОСЕРІ»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«МЕНАКОМУНПОСЛУГА».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нню меж земельних ділянок (паї).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«МЕНАКОМУНПОСЛУГА».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відведення земельних ділянок на умовах оренди для городництва за межами с. Майське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 виготовлення проекту землеустрою щодо відведення    земельної ділянки для надання в оренду  ТОВ «СООР МЕНА»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проектів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зміницільового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земельних ділянок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Чулкову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Холода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О.Г.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орендного користування земельною ділянкою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Дубовським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Д.І.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гр. Кияшку О.М. 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розміщення медичного пункту тимчасового базування в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Данилівка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поділ об'єкту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Програми соціальної підтримки жителів Менської міської територіальної громади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порядок придбання службового житла у Менській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придбання житла у Менській міській територіальній громаді для лікарів, що працюють у КНП «Менська міська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транспортних засобів непридатних до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з балансу Опорного закладу Менська гімназія Менської міської ради  майна, непридатного до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Степанівського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міжшкільного навчально-виробничого комбінату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Стольненському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Менського опорного ЗЗСО І-ІІІ ступенів ім. Т.Г.Шевченка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60 сесії Менської міської 8 скликання від 24 квітня 2025 року № 690 «Про внесення змін до Програми фінансової підтримки патронатних родин, що функціонують на території Менської міської територіальної громади Чернігівської області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Дягівському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перепрофілювання (зміну типу), зміну найменування та затвердження Статуту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Макошинської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 новій редакції 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Синявському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Індивідуального плану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біовідходами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територіальної громади на 2025-2028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розвитку цивільного захисту Менської міської територіальної громади на 2025-2027роки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та проведення конкурсу молодіжних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проєктів«Активна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молодь – сильна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надбавку за вислугу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згоду на перетин державного кордону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ставки податків та зборів на території Менської міської територіальної громади з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2025 рік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 внесеними змінами.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проводити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підняттям рук, у зв’язку з відсутністю електронної системи 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внутрішньої системи опалення котельні по вул. Гімназійна 1 А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з улаштуванням блочно-модульної твердопаливної котельні БМК-1200 для використання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якості резервної (аварійної)».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Зважаючи, що зауважень, доповнень не надходило,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344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внутрішньої системи опалення котельні по вул. Гімназійна 1 А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з улаштуванням блочно-модульної твердопаливної котельні БМК-1200 для використання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якості резервної (аварійної)»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майна до переліку об’єктів комунальної власності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чи розглядався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профільної комісії. Голова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Фесюн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Олексіївн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повідомила,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 на засіданні комісії.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345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майна до переліку об’єктів комунальної власності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інформаційної картки адміністративної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Головуючий повідомив, що даний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охорони здоров’я, соціального захисту населення, освіти, культури, молоді, фізкультури і спорту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Враховуючи, що запитань, зауважень і пропозицій не надходило, запросив підтримати даний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інформаційної картки адміністративної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Муніципального енергетичного плану Менської міської територіальної громади та додатків до 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 зас</w:t>
      </w:r>
      <w:r>
        <w:rPr>
          <w:sz w:val="28"/>
          <w:szCs w:val="28"/>
          <w:lang w:val="uk-UA"/>
        </w:rPr>
        <w:t xml:space="preserve">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Враховуючи, що запитань, зауважень і пропозицій не надходило, запросив підтримати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347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Муніципального енергетичного плану Менської міської територіальної громади та додатків до 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був розглянутий на засіданні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запитань, зауважень і пропозицій не надходило, запросив підтримати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349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дії генеральних планів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був розглянутий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запитань, зауважень і пропозицій не надходило, запросив підтримати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Скобєлєва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Чепурко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С.О., Івченко Ю.М.,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Бутенко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дії генеральних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орендованих земельних ділянок 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запитань, зауважень і пропозицій не надходило, запросив підтримати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орендованих земельних ділянок  в суборенду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документації із землеустрою щодо поділу земельної ділянки, що перебуває в орендному користуванні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документації із землеустрою щодо поділу земельної ділянки, що перебуває в орендному користуванні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8925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земельних ділянок, що перебувають в оренді у ФГ «СВІТАНОК ЧЕРНІГІВЩИНИ» до переліку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ділянок, які підлягають продажу.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був розглянутий на засіданні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депутатської комісії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земельних ділянок, що перебувають в оренді у ФГ «СВІТАНОК ЧЕРНІГІВЩИНИ» до переліку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ділянок, які підлягають продажу»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договору оренди землі, укладеного з Корнієнком В.В.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Ю.В., який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договору оренди землі, укладеного з Корнієнком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Стальниченка</w:t>
      </w:r>
      <w:r>
        <w:rPr>
          <w:sz w:val="28"/>
          <w:szCs w:val="28"/>
          <w:lang w:val="uk-UA"/>
        </w:rPr>
        <w:t xml:space="preserve"> Ю.В., який зазначив, що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підтриманий на засіданні </w:t>
      </w:r>
      <w:r>
        <w:rPr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Зауважень, доповнень не надходило, і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Вялько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Л.С.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Бурці І.О.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Ю.В., який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з метою передачі в оренду Бурці І.О.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тимчасового користування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невитребуваними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 ділянками (паями) за межами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Ю.В., який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тимчасового користування ТОВ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невитребуваними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 ділянками (паями) за межами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з метою передачі невитребуваних земельних ділянок (паїв) в оренду ТОВ «ГАРДЕНФИЛД»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Ю.В., який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відносин та охорони природи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з метою передачі невитребуваних земельних ділянок (паїв) в оренду ТОВ «ГАРДЕНФИЛД»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ТОВ «МЕНА-АВАНГАРД» технічної документації із землеустрою по встановленню (відновленню) меж земельних ділянок (під польовими доро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гами) з метою передачі в оренду.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Ю.В., який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ТОВ «МЕНА-АВАНГАРД» технічної документації із землеустрою по встановленню (відновленню) меж земельних ділянок (під польовими доро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гами) з метою передачі в оренду»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з метою передачі невитребуваних земельних ділянок (паїв) в оренду ТОВ «ГРІН-ГРОСЕРІ»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з метою передачі невитребуваних земельних ділянок (паїв) в оренду ТОВ «ГРІН-ГРОСЕРІ»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«МЕНАКОМУНПОСЛУГА».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«МЕНАКОМУНПОСЛУГА»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депутатами.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нню меж земельних ділянок (паї).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підтриманий депутатами,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нню меж земельних ділянок (паї)»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«МЕНАКОМУНПОСЛУГА».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«МЕНАКОМУНПОСЛУГА»»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відведення земельних ділянок на умовах оренди для городництва за межами с. Майське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368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відведення земельних ділянок на умовах оренди для городництва за межами с. Майське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 виготовлення проекту землеустрою щодо відведення    земельної ділянки для надання в оренду  ТОВ «СООР МЕНА»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будівництва, земельних відносин та охорони природи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 виготовлення проекту землеустрою щодо відведення    земельної ділянки для надання в оренду  ТОВ «СООР МЕНА»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проектів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зміницільового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земельних ділянок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Чулкову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містобудування, будівництва, земельних відносин та охорони природи,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проектів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зміницільового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земельних ділянок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Чулкову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Холода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О.Г.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містобудування, будівництва, земельних відносин та охорони природи,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земельної ділянки, що перебуває в оренді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Холода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О.Г. до переліку ділянок, які підлягають продажу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будівництва, земельних відносин та охорони природи,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були внесені технічні правки,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орендного користування земельною ділянкою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Дубовським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Д.І.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містобудування, будівництва, земельних відносин та охорони природи,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375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орендного користування земельною ділянкою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Дубовським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376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гр. Кияшку О.М. 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і підтриманий на засіданні постійної депутатської комісії з питань містобудування, будівництва, земельних відносин та охорони природи,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земельної ділянки гр. Кияшку О.М. 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надходило.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377 «Про внесення змін до рішення 56 сесії Менської міської ради 8 скликання від 19 грудня 2024 року №728 «Про затвердження Програми підтримки КП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Менської міської ради на 2025-2027 роки».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розміщення медичного пункту тимчасового базування в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Данилівка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був розглянутий на засіданнях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з питань планування, фінансів, бюджету, соціально-економічного розвитку, житлово-комунального господарства та комунального майна та постійній комісії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розміщення медичного пункту тимчасового базування в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Данилівка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поділ об'єкту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поділ об'єкту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був розглянутий на засіданнях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регламенту, етики, законності та правопорядку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остійній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Москальчук М.В.,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Прищепа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В.В., Гончар Н.В.,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порядок придбання службового житла у Менській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порядок придбання службового житла у Менській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придбання житла у Менській міській територіальній громаді для лікарів, що працюють у КНП «Менська міська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нутий на засіданнях п</w:t>
      </w:r>
      <w:r>
        <w:rPr>
          <w:rFonts w:ascii="Times New Roman" w:hAnsi="Times New Roman" w:cs="Times New Roman"/>
          <w:sz w:val="28"/>
          <w:szCs w:val="28"/>
        </w:rPr>
        <w:t xml:space="preserve"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комісі</w:t>
      </w:r>
      <w:r>
        <w:rPr>
          <w:rFonts w:ascii="Times New Roman" w:hAnsi="Times New Roman" w:cs="Times New Roman"/>
          <w:sz w:val="28"/>
          <w:szCs w:val="28"/>
        </w:rPr>
        <w:t xml:space="preserve">ї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 xml:space="preserve">питань</w:t>
      </w:r>
      <w:r>
        <w:rPr>
          <w:rFonts w:ascii="Times New Roman" w:hAnsi="Times New Roman" w:cs="Times New Roman"/>
          <w:sz w:val="28"/>
          <w:szCs w:val="28"/>
        </w:rPr>
        <w:t xml:space="preserve"> регламенту, </w:t>
      </w:r>
      <w:r>
        <w:rPr>
          <w:rFonts w:ascii="Times New Roman" w:hAnsi="Times New Roman" w:cs="Times New Roman"/>
          <w:sz w:val="28"/>
          <w:szCs w:val="28"/>
        </w:rPr>
        <w:t xml:space="preserve">етики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законності</w:t>
      </w:r>
      <w:r>
        <w:rPr>
          <w:rFonts w:ascii="Times New Roman" w:hAnsi="Times New Roman" w:cs="Times New Roman"/>
          <w:sz w:val="28"/>
          <w:szCs w:val="28"/>
        </w:rPr>
        <w:t xml:space="preserve"> та правопорядку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остійн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комісі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ї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питань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планування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фінансів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бюджету,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соціально-економічного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розвитку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житлово-комунального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господарства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депутатами були внесені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пропозиції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які відображені у даному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рішення з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поданими пропозиціями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Нерослик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А.П.,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Фесюн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К.О.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382 «Про придбання житла у Менській міській територіальній громаді для лікарів, що працюють у КНП «Менська міська лікарня» з пропозиціями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транспортних засобів непридатних до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нування, фінансів, бюджету, соціально-економічного розвитку, житлово-комунального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транспортних засобів непридатних до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з балансу Опорного закладу Менська гімназія Менської міської ради  майна, непридатного до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з балансу Опорного закладу Менська гімназія Менської міської ради  майна, непридатного до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Степанівського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міжшкільного навчально-виробничого комбінату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житлово-комунального господар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 з доповненнями комісій.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ства та комунального майна запропонувала додати пункт, яким рекомендувати Відділу освіти провести аналіз структури та загальної чисельності закладу, інших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385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Степанівського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міжшкільного навчально-виробничого комбінату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Стольненському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Стольненському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Менського опорного ЗЗСО І-ІІІ ступенів ім. Т.Г.Шевченка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Менського опорного ЗЗСО І-ІІІ ступенів ім. Т.Г.Шевченка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60 сесії Менської міської 8 скликання від 24 квітня 2025 року № 690 «Про внесення змін до Програми фінансової підтримки патронатних родин, що функціонують на території Менської міської територіальної громади Чернігівської області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з технічними правками від постійних комісій.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 :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А.П.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60 сесії Менської міської 8 скликання від 24 квітня 2025 року № 690 «Про внесення змін до Програми фінансової підтримки патронатних родин, що функціонують на території Менської міської територіальної громади Чернігівської області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Дягівському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Дягівському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перепрофілювання (зміну типу), зміну найменування та затвердження Статуту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Макошинської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 новій редакції.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перепрофілювання (зміну типу), зміну найменування та затвердження Статуту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Макошинської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 новій редакції»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Синявському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391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безоплатно переданого майна з подальшою передачею в оперативне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Синявському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Індивідуального плану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біовідходами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територіальної громади на 2025-2028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Індивідуального плану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біовідходами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територіальної громади на 2025-2028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розвитку цивільного захисту Менської міської територіальної громади на 2025-2027роки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засіданнях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 і постійної депутатської комісії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регламенту, етики, законності та правопорядку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393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розвитку цивільного захисту Менської міської територіальної громади на 2025-2027роки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та проведення конкурсу молодіжних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«Активна молодь – сильна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та проведення конкурсу молодіжних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«Активна молодь – сильна громада»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395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надбавку за вислугу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Ю.В. заявив про наявний конфлікт інтересів 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він не буде брати участь у прийнятті вказаного рішення, зокрема, в розгляді, обговоренні та голосуванні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профільної депутатської комісії і підтриманий депутатами,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надбавку за вислугу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згоду на перетин державного кордону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Ю.В. заявив про наявний конфлікт інтересів 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він не буде брати участь у прийнятті вказаного рішення, зокрема, в розгляді, обговоренні та голосуванні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профільної депутатської комісії і підтриманий депутатами,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згоду на перетин державного кордону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ставки податків та зборів на території Менської міської територіальної громади з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А.П. про розгляд питання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Депутатка звернулась з пропозицією підтримати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та залишити без змін. Враховуючи, що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головуючий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</w:t>
      </w:r>
      <w:r>
        <w:rPr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запитав, чи є ще у депутатів запитання, зауваження, доповнення до 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рішення. Враховуючи, що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 був розглянутий на п</w:t>
      </w:r>
      <w:r>
        <w:rPr>
          <w:sz w:val="28"/>
          <w:szCs w:val="28"/>
        </w:rPr>
        <w:t xml:space="preserve">остійній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комісії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питань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планування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фінансів</w:t>
      </w:r>
      <w:r>
        <w:rPr>
          <w:sz w:val="28"/>
          <w:szCs w:val="28"/>
        </w:rPr>
        <w:t xml:space="preserve">, бюджету, </w:t>
      </w:r>
      <w:r>
        <w:rPr>
          <w:sz w:val="28"/>
          <w:szCs w:val="28"/>
        </w:rPr>
        <w:t xml:space="preserve">соціально-економічного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житлово-комунального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господарства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комунального</w:t>
      </w:r>
      <w:r>
        <w:rPr>
          <w:sz w:val="28"/>
          <w:szCs w:val="28"/>
        </w:rPr>
        <w:t xml:space="preserve"> майна</w:t>
      </w:r>
      <w:r>
        <w:rPr>
          <w:sz w:val="28"/>
          <w:szCs w:val="28"/>
          <w:lang w:val="uk-UA"/>
        </w:rPr>
        <w:t xml:space="preserve"> і підтриманий депутатами, головуючий поставив на голосування даний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ставки податків та зборів на території Менської міської територіальної громади з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2025 рік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Депутат Миц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О.Л. про внесення правок в додатку «ПАСПОРТ ПРОГРАМИ ПІДВИЩЕННЯ ОБОРОНОЗДАТНОСТІ ТА БЕЗПЕКИ НАСЕЛЕНИХ ПУНКТІВ МЕНСЬКОЇ МІСЬКОЇ ТЕРИТОРІАЛЬНОЇ ГРОМАДИ В УМОВАХ ВОЄННОГО СТАНУ НА 2025 РІК», а саме «10 Державна пожежно-рятувальна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частина (м.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) 2 ДПРЗ ГУ ДСНС України у Чернігівській області» замінити на «10 Державна пожежно-рятувальна частина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) 1 ДПРЗ ГУ ДСНС України у Чернігівській області».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Головуючий запитав, чи є ще у депутатів запитання, зауваження, доповнення до 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рішення був розглянутий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остійній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комісі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ї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питань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планування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фінансів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бюджету,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соціально-економічного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розвитку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житлово-комунального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господарства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майна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 підтриманий депутатами, головуючий поставив на г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олосування даний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рішення з правками.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2025 рік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Фінансого управління Менської міської ради Нерослик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А.П. ознайомила депутатів про зміни до бюджету 2025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розглянутий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майна, зауважень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був підтриманий депутатами.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питання, які включені до порядку денного другого пленарного засідання 62-ї сесії Менської міської ради 8 скликання, розглянуті.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пленарне засідання 61-ї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0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89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8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0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1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2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80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1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82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888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889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2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3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4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5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6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7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898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899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00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1">
    <w:name w:val="Header"/>
    <w:basedOn w:val="728"/>
    <w:link w:val="90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02" w:customStyle="1">
    <w:name w:val="Верхний колонтитул Знак"/>
    <w:basedOn w:val="738"/>
    <w:link w:val="901"/>
    <w:uiPriority w:val="99"/>
    <w:pPr>
      <w:pBdr/>
      <w:spacing/>
      <w:ind/>
    </w:pPr>
  </w:style>
  <w:style w:type="paragraph" w:styleId="903">
    <w:name w:val="Footer"/>
    <w:basedOn w:val="728"/>
    <w:link w:val="90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04" w:customStyle="1">
    <w:name w:val="Нижний колонтитул Знак"/>
    <w:basedOn w:val="738"/>
    <w:link w:val="903"/>
    <w:uiPriority w:val="99"/>
    <w:pPr>
      <w:pBdr/>
      <w:spacing/>
      <w:ind/>
    </w:pPr>
  </w:style>
  <w:style w:type="paragraph" w:styleId="905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06">
    <w:name w:val="No Spacing"/>
    <w:uiPriority w:val="1"/>
    <w:qFormat/>
    <w:pPr>
      <w:pBdr/>
      <w:spacing w:after="0" w:line="240" w:lineRule="auto"/>
      <w:ind/>
    </w:pPr>
  </w:style>
  <w:style w:type="paragraph" w:styleId="907">
    <w:name w:val="Title"/>
    <w:basedOn w:val="728"/>
    <w:next w:val="728"/>
    <w:link w:val="9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8" w:customStyle="1">
    <w:name w:val="Название Знак"/>
    <w:basedOn w:val="738"/>
    <w:link w:val="907"/>
    <w:uiPriority w:val="10"/>
    <w:pPr>
      <w:pBdr/>
      <w:spacing/>
      <w:ind/>
    </w:pPr>
    <w:rPr>
      <w:sz w:val="48"/>
      <w:szCs w:val="48"/>
    </w:rPr>
  </w:style>
  <w:style w:type="paragraph" w:styleId="909">
    <w:name w:val="Subtitle"/>
    <w:basedOn w:val="728"/>
    <w:next w:val="728"/>
    <w:link w:val="9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0" w:customStyle="1">
    <w:name w:val="Подзаголовок Знак"/>
    <w:basedOn w:val="738"/>
    <w:link w:val="909"/>
    <w:uiPriority w:val="11"/>
    <w:pPr>
      <w:pBdr/>
      <w:spacing/>
      <w:ind/>
    </w:pPr>
    <w:rPr>
      <w:sz w:val="24"/>
      <w:szCs w:val="24"/>
    </w:rPr>
  </w:style>
  <w:style w:type="paragraph" w:styleId="911">
    <w:name w:val="Quote"/>
    <w:basedOn w:val="728"/>
    <w:next w:val="728"/>
    <w:link w:val="912"/>
    <w:uiPriority w:val="29"/>
    <w:qFormat/>
    <w:pPr>
      <w:pBdr/>
      <w:spacing/>
      <w:ind w:right="720" w:left="720"/>
    </w:pPr>
    <w:rPr>
      <w:i/>
    </w:rPr>
  </w:style>
  <w:style w:type="character" w:styleId="912" w:customStyle="1">
    <w:name w:val="Цитата 2 Знак"/>
    <w:basedOn w:val="738"/>
    <w:link w:val="911"/>
    <w:uiPriority w:val="29"/>
    <w:pPr>
      <w:pBdr/>
      <w:spacing/>
      <w:ind/>
    </w:pPr>
    <w:rPr>
      <w:i/>
    </w:rPr>
  </w:style>
  <w:style w:type="paragraph" w:styleId="913">
    <w:name w:val="Intense Quote"/>
    <w:basedOn w:val="728"/>
    <w:next w:val="728"/>
    <w:link w:val="9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4" w:customStyle="1">
    <w:name w:val="Выделенная цитата Знак"/>
    <w:basedOn w:val="738"/>
    <w:link w:val="913"/>
    <w:uiPriority w:val="30"/>
    <w:pPr>
      <w:pBdr/>
      <w:spacing/>
      <w:ind/>
    </w:pPr>
    <w:rPr>
      <w:i/>
      <w:shd w:val="clear" w:color="auto" w:fill="f2f2f2"/>
    </w:rPr>
  </w:style>
  <w:style w:type="character" w:styleId="915" w:customStyle="1">
    <w:name w:val="Header Char"/>
    <w:basedOn w:val="738"/>
    <w:uiPriority w:val="99"/>
    <w:pPr>
      <w:pBdr/>
      <w:spacing/>
      <w:ind/>
    </w:pPr>
  </w:style>
  <w:style w:type="character" w:styleId="916" w:customStyle="1">
    <w:name w:val="Footer Char"/>
    <w:basedOn w:val="738"/>
    <w:uiPriority w:val="99"/>
    <w:pPr>
      <w:pBdr/>
      <w:spacing/>
      <w:ind/>
    </w:pPr>
  </w:style>
  <w:style w:type="character" w:styleId="917" w:customStyle="1">
    <w:name w:val="Caption Char"/>
    <w:uiPriority w:val="99"/>
    <w:pPr>
      <w:pBdr/>
      <w:spacing/>
      <w:ind/>
    </w:pPr>
  </w:style>
  <w:style w:type="character" w:styleId="91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9" w:customStyle="1">
    <w:name w:val="Текст сноски Знак"/>
    <w:basedOn w:val="738"/>
    <w:link w:val="920"/>
    <w:uiPriority w:val="99"/>
    <w:semiHidden/>
    <w:pPr>
      <w:pBdr/>
      <w:spacing/>
      <w:ind/>
    </w:pPr>
    <w:rPr>
      <w:sz w:val="18"/>
    </w:rPr>
  </w:style>
  <w:style w:type="paragraph" w:styleId="920">
    <w:name w:val="footnote text"/>
    <w:basedOn w:val="728"/>
    <w:link w:val="9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22" w:customStyle="1">
    <w:name w:val="Текст концевой сноски Знак"/>
    <w:basedOn w:val="738"/>
    <w:link w:val="923"/>
    <w:uiPriority w:val="99"/>
    <w:semiHidden/>
    <w:pPr>
      <w:pBdr/>
      <w:spacing/>
      <w:ind/>
    </w:pPr>
    <w:rPr>
      <w:sz w:val="20"/>
    </w:rPr>
  </w:style>
  <w:style w:type="paragraph" w:styleId="923">
    <w:name w:val="endnote text"/>
    <w:basedOn w:val="728"/>
    <w:link w:val="9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24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25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26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27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28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29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30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31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32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35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docdata"/>
    <w:basedOn w:val="738"/>
    <w:pPr>
      <w:pBdr/>
      <w:spacing/>
      <w:ind/>
    </w:pPr>
  </w:style>
  <w:style w:type="paragraph" w:styleId="937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Balloon Text"/>
    <w:basedOn w:val="728"/>
    <w:link w:val="94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738"/>
    <w:link w:val="93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1" w:customStyle="1">
    <w:name w:val="docy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5</cp:revision>
  <dcterms:created xsi:type="dcterms:W3CDTF">2025-06-26T13:42:00Z</dcterms:created>
  <dcterms:modified xsi:type="dcterms:W3CDTF">2025-06-26T15:58:54Z</dcterms:modified>
</cp:coreProperties>
</file>