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шістдесят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afterAutospacing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сесійна зала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міській раді встановлено 26 депутатських мандатів, обрано 26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сесії зареєстровано 16 депутатів, присутні 16 депутатів, відсутні 10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пленарне засідання 61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ст. 5, 6 Регламенту Менської міської ради 8 скликання Сесії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проводяться гласно із забезпеченням права кожного бути присутнім на 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випадків передбачених законодавством. Порядок доступу до засідань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радою 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цього Регламенту. Представники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засобів масової інформації та журналісти, які бажають бути присутніми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пленарному засіданні сесії, допускаються за умови пред’явлення службового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(журналістського) посвідчення.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/>
        <w:jc w:val="both"/>
        <w:rPr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Присутні:</w:t>
      </w:r>
      <w:r>
        <w:rPr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/>
        <w:jc w:val="both"/>
        <w:rPr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Кравченко С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вітлана Миколаївна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lang w:val="uk-UA"/>
        </w:rPr>
        <w:t xml:space="preserve">представник ДП «Зернятко»; Лук’яненко Ірина Федорівна, начальник Відділу освіти Менської міської ради.</w:t>
      </w:r>
      <w:r>
        <w:rPr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запропонував зайняти визначені місця і відкрив пленарне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 депутатів згідно ст. 46 п.4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в Україні» та ст.19, 20 Регламенту Менської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проводиться пленарне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 скликання.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ознайомив депутатів з запропонованим порядком денним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депутатської комісії з питань містобудування, будівництва, земельних відносин та охорони природи, Юрій Валерійович запропонував внести зміни до вищезазначеного проєкту порядку денного: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320 «Про виготовлення проєкту землеустрою щодо зміни цільового призначення земельної ділянки за межами с. Ушня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зняти з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внесення змін до проєкту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рішення, реєстраційний номер 320 «Про виготовлення проєкту землеустрою щодо зміни цільового призначення земельної ділянки за межами с.Ушня з подальшим продажем права оренди на земельних торгах» зняти з порядку денного.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раховуючи рек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омендації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 Юрій Валерійович запропонував внести зміни до вищезазначеного проєкту порядку денного: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рішення, порядковий номер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79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субвенції з бюджету Менської міської територіальної громади до державного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внесення змін до проєкту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279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субвенції з бюджету Менської міської територіальної громади до державного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проєкт порядку денного за основу та вцілому, з врахуванням внесених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267. Про внесення змін до Переліків адміністративних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послуг, які надаються через відділ «Центр надання адміністративних послуг» та його віддалені робочі місця; затвердження Переліків адміністративних послуг, які надаються через пересувні віддалені робочі місця відділу «Центр надання адміністративних послуг».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Положення про відділ «Центр надання адміністративних послуг»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в комунальну власність Менської міської територіальної громади майна та передачу його в оперативне управління КУ «Менський 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Програми організації харчування дітей в закладах загальної середньої освіти Менської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комунальну власність Менської міської територіальної громади безоплатно переданого майна з подальшою передачею в оперативне управління та на баланс 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 грудня 2024 року №712 «Про затвердження Програми підтримки та розвитку обдарованої учнівської молоді та творчих педагогів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підвищення обороноздатності та безпеки населених пунктів Менської міської територіальної громади в умовах на 2025 рік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бюджету Менської міської територіальної громади за 1 квартал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Програми виконання рішень суду про стягнення коштів на 2024-2025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погодження проєкту рішення «Про ставки податків та зборів на території Менської міської територіальної громади з 2026 року»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субвенції з бюджету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державного бюджету</w:t>
      </w:r>
      <w:r/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субвенції з бюджету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державного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60 сесії Менської міської ради 8 скликання №216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транспортного засобу в користування Комунальній установі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Місцева пожежна охорона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оновленого складу комісії для обстеження лісосмуг, багаторічних насаджень, самозаліснених та вкритих порослю земельних ділянок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згоду на перетин державного кордону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згоду на перетин державного кордону України у зв'язку із службовим відрядженням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в порядку реорганізації шляхом приєднання юридичної особи – Покровський заклад дошкільної освіти (дитячий садок) «Капітошка» загального типу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філії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в порядку реорганізації шляхом приєднання юридичної особи – Комунальний заклад позашкільної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 Менська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станція юних техніків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в порядку реорганізації шляхом приєднання юридичної особи – Менський заклад дошкільної освіти (ясла-садок) «Калинонька» загального типу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філії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в порядку реорганізації шляхом приєднання юридичної особи – Осьмаківський заклад дошкільної освіти (дитячий садок) «Капітошка» загального типу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філії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реорганізації шляхом приєднання юридичної особи – Киселівський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реорганізації шляхом приєднання юридичної особи – Покровський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Типової форми Контракту з керівниками комунальних закладів загальної середньої освіти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Структури та загальної чисельності КУ «Менський територіальний центр надання соціальних послуг»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виготовлення проекту землеустрою щодо відведення земельної ділянки по зміні цільового призначення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виготовлення технічних документацій із землеустрою щодо поділу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виготовлення технічних документацій із землеустрою щодо інвентаризації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проєктів землеустрою щодо відведення земельних ділянок з метою передачі в оренду АТ «ЧЕРНІГІВОБЛЕНЕРГО»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дозволів на виготовлення проєктів землеустрою щодо відведення земельних ділянок на умовах оренди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зі зміною цільового призначення Барсегян А.А.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землі, укладеного з Костючком А.А. на земельну ділянку в с. Покровське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поділу земельної ділянки, яка перебуває в оренді у Чулкова Ю.О.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землі, укладеного з Шевченко Є.А.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орендного користування земельною ділянкою гр. Ющенко К.В.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землі, укладеного з Костючком А.А.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в оренду земельної ділянки гр. Холоду О.Г.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в оренду земельної ділянки гр. Ющенко О.В.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в оренду земельної ділянки ПП «Міжрайпаливо»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землі, укладеного з Єфименко О.А.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документації із землеустрою з метою передачі земельних ділянок в постійне користування Блистівському закладу загальної середньої освіти I-III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документацій щодо поділу земельної ділянки ТОВ «МЕНА-АВАНГАРД»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проєкту землеустрою щодо відведення земельної ділянки та передачу в постійне користування КП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виготовлення проєкту землеустрою щодо відведення земельної ділянки зі зміною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дострокове припинення права оренди на невитребувані земельні ділянки за межами с. Блистова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в тимчасове користування Фізичній особі – підприємцю Сироїду М.І. на умовах оренди невитребувані земельні ділянки (паї) за межами с. Блистова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визначення статусу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Рекреаційні зони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територій загального користування, що знаходяться в межах міста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голови Верховної Ради України щодо внесення змін до проєкту Закону України №13150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виготовлення проекту землеустрою щодо встановлення меж водоохоронних зон та прибережних захисних смуг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проєкту землеустрою щодо відведення земельної ділянки в оренду для городництва гр. Лесюті А.М.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документації із землеустрою з метою передачі земельних ділянок в орендне користування АТ «ЧЕРНІГІВОБЛЕНЕРГО»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дострокове припинення повноважень депутата Менської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в комунальну власність Менської міської територіальної громади матеріальних цінностей з подальшою передачею в оперативне управління та на баланс Комунальному закладу позашкільної освіти Менському центру дитячої та юнацької творчості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майна в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59 сесії Менської міської ради 8 скликання від 24 березня 2025 року №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в комунальну власність Менської міської територіальної громади майна та передачу його в оперативне управління КУ «Менський Територіальний центр НСП»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п'ятдесят дев'ятої сесії восьмого скликання від 24 березня 2025 року №155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оперативне управління частини приміщення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адресою:м.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Мена, вул. Героїв АТО,3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 грудня 2024 року №745 «Про затвердження Програми підтримки та розвитку місцевого самоврядування на території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майна в комунальну власність Менської міської територіальної громади та передачу його в господарське відання КП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проєкту землеустрою щодо відведення земельної ділянки в оренду для городництва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Лесюті В.М.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порядок денний з внесеними змінами.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 до 10 хвилин.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Виступаючим в обговоренні, для повторних виступів при обговоренні,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виступів за процедурою скороченого обговорення, для виступів з інформацією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порядку денного, для заяв, внесення запитів, резолюцій, надається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тривалістю до 3 хвилин, для виступів щодо кандидатур, процедури та з мотивів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проводити за допомогою електронної системи голосування.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пленарного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Переліків адміністративних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послуг, які надаються через відділ «Центр надання адміністративних послуг» та його віддалені робочі місця; затвердження Переліків адміністративних послуг, які надаються через пересувні віддалені робочі місця відділу «Центр надання адміністративних послуг»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проєкт рішення був розглянутий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майна. Зважаючи, що зауважень, доповнень не надходило,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bookmarkStart w:id="0" w:name="_GoBack"/>
      <w:r>
        <w:rPr>
          <w:lang w:val="uk-UA"/>
        </w:rPr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Переліків адміністративних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послуг, які надаються через відділ «Центр надання адміністративних послуг» та його віддалені робочі місця; затвердження Переліків адміністративних послуг, які надаються через пересувні віддалені робочі місця відділу «Центр надання адміністративних послуг»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Положення про відділ «Центр надання адміністративних послуг»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проєкт рішення був розглянутий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зауважень, доповнень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був підтриманий депутатами,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Положення про відділ «Центр надання адміністративних послуг»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майна та передачу його в оперативне управління КУ «Менський 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засіданні постійно</w:t>
      </w:r>
      <w:r>
        <w:rPr>
          <w:sz w:val="28"/>
          <w:szCs w:val="28"/>
          <w:lang w:val="uk-UA"/>
        </w:rPr>
        <w:t xml:space="preserve">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майна та передачу його в оперативне управління КУ «Менський 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організації харчування дітей в закладах загальної середньої освіти Менської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засіданні постійно</w:t>
      </w:r>
      <w:r>
        <w:rPr>
          <w:sz w:val="28"/>
          <w:szCs w:val="28"/>
          <w:lang w:val="uk-UA"/>
        </w:rPr>
        <w:t xml:space="preserve">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організації харчування дітей в закладах загальної середньої освіти Менської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комунальну власність Менської міської територіальної громади безоплатно переданого майна з подальшою передачею в оперативне управління та на баланс 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проєкт рішення був розглянутий на засіданнях постійної депутатської комісії з питань планування, фінансів, бюджету, 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о-економічного розвитку, житлово-комунального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Зауважень, доповнень не надходило,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комунальну власність Менської міської територіальної громади безоплатно переданого майна з подальшою передачею в оперативне управління та на баланс Менського опорного закладу загальної середньої освіти І-ІІІ ступенів ім. Т.Г. Шевченка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№712 «Про затвердження Програми підтримки та розвитку обдарованої учнівської молоді та творчих педагогів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проєкт рішення був розглянутий на засіданнях постійної депутатської комісії з питань 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нування, фінансів, бюджету, соціально-економічного розвитку, житлово-комунального господарства та комунального майна і постійної депутатської комісії з питань охорони здоров’я, соціального захисту населення, освіти, культури, молоді, фізкультури і спорту.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поставив на голосування даний проєкт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технічними правками від постійних комісій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№712 «Про затвердження Програми підтримки та розвитку обдарованої учнівської молоді та творчих педагогів на 2025-2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 Ю.В.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допомогу 1 Відділу Корюківського РТЦК та 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иготовленні рекламної продукції.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головуючий повідомив, що проєкт рішення був розглянутий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 та з питань регламенту, етики, законності та правопорядку, і підтриманий депутатами.</w:t>
      </w:r>
      <w:r>
        <w:rPr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- 1,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громадина 2025-2027 роки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проєкт рішення був розглянутий на засіданні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надходило, головуючий поставив на голосування даний проєкт рішення.</w:t>
      </w:r>
      <w:r>
        <w:rPr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№728 «Про затвердження Програми підтримки КП «Менакомунпослуга» Менської міської ради на 2025-2027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на 2025 рік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даний проєкт рішення був розглянутий на засіданнях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 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регламенту, етики, законності та правопорядку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Зауважень, доповнень не надходило,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підвищення обороноздатності та безпеки населених пунктів Менської міської територіальної громади в умовах на 2025 рік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бюджету Менської міської територіальної громади за 1 квартал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 Ю.В.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зазначив, що проєкт рішення був підтриманий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бюджету Менської міської територіальної громади за 1 квартал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виконання рішень суду про стягнення коштів на 2024-2025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Нерослик А.П. щодо внесених правок на засіданні постійної депутатської комісії з питань </w:t>
      </w:r>
      <w:r>
        <w:rPr>
          <w:sz w:val="28"/>
          <w:szCs w:val="28"/>
          <w:lang w:val="uk-UA"/>
        </w:rPr>
        <w:t xml:space="preserve">планування, фінансів, бюджету, соціально-економічного розвитку, житлово-комунального господарства та комунального майна. </w:t>
      </w:r>
      <w:r>
        <w:rPr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з правками.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виконання рішень суду про стягнення коштів на 2024-2025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проєкту рішення «Про ставки податків та зборів на території Менської міської територіальної громади з 2026 року»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 А.П.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необхідність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проєкт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Менської міської ради «Про ставки податків та зборів на території Менської міської територіальної громади з 2026 року»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станов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місячн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термін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подачі пропозицій та зауважень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обговорення проєкту рішення.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Стальниченко Ю.В. про розміщення проєкту рішення на сайті для обговорення та подачі пропозимцій.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моменту оприлюднення (спосіб надання зауважень та пропозицій: письмово), які надаються до Менської міської ради.</w:t>
      </w:r>
      <w:r>
        <w:rPr>
          <w:rFonts w:ascii="Times New Roman" w:hAnsi="Times New Roman" w:cs="Times New Roman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засіданні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проєкту рішення «Про ставки податків та зборів на території Менської міської 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иторіальної громади з 2026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субвенції з бюджету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державного бюджету</w:t>
      </w:r>
      <w:r/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зазначив, що проєкт рішення був внесений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денного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 А.П. з проханням підтримати проєкт рішення щодо фінансування військової частини.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субвенції з бюджету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державного бюджету</w:t>
      </w:r>
      <w:r/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субвенції з бюджету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державного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 А.П. про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 питання на 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майна, Депутатка звернулась з пропозицією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субвенції з бюджету Менської міської територіальної громади до державного бюджету На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 А.П. про зміни до бюджету 2025 року.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проєкту рішення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був підтриманий депутатами.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Черток В.Б., Шелудько С.В.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60 сесії Менської міської ради 8 скликання №216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засіданні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питань планування, фінансів, бюджету, соціально-економічного розвитку, житлово-комунального господарства та комунального майна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60 сесії Менської міської ради 8 скликання №216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транспортного засобу в користування Комунальній установі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Місцева пожежна охорона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проєкту рішення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був підтриманий депутатами,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транспортного засобу в користування Комунальній установі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Місцева пожежна охорона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оновленого складу комісії для обстеження лісосмуг, багаторічних насаджень, самозаліснених та вкритих порослю земельних ділянок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 Ю.В. про оновлення складу комісії у зв’язку з кадровими змінами.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проєкту рішення не надходило,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був підтриманий депутатами.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оновленого складу комісії для обстеження лісосмуг, багаторічних насаджень, самозаліснених та вкритих порослю земельних ділянок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згоду на перетин державного кордону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 що наступним розгляядається питання – Про згоду на перетин державного кордону України.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Депутатка Шелудько С.В. заявила про наявний конфлікт інтересів 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вона не буде брати участь у прийнятті вказаного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зокрема, в розгляді, обговоренні та голосуванні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питав, чи є у депутатів запитання, зауваження, доповнення до  проєкту рішення.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запитання і доповнення до проєкту рішення відсутні,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згоду на перетин державного кордону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згоду на перетин державного кордону України у зв'язку із службовим відрядженням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Стальниченко Ю.В.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заяви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наявний конфлікт інтересів 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буде брати участь у прийнятті вказаного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зокрема, в розгляді, обговоренні та голосуванні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профільної депутатської комісії і підтриманий депутатами,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згоду на перетин державного кордону України у зв'язку із службовим відрядженням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Покровський заклад дошкільної освіти (дитячий садок) «Капітошка» загального типу Менської міської ради  та створення філії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до 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були внесені технічні правки,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Покровський заклад дошкільної освіти (дитячий садок) «Капітошка» загального типу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філії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технічними правками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Комунальний заклад позашкільної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 Менська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станція юних техніків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двох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здоров’я, соціального захисту населення, освіти, культури, молоді, фізкультури і спорту, проєкт рішення був підтриманий депутатами,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Комунальний заклад позашкільної освіти  Менська станція юних техніків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Менський заклад дошкільної освіти (ясла-садок) «Калинонька» загального типу Менської міської ради  та створення філії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повідомив,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був підтриманий депутатами на засіданні профільної комісії,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Менський заклад дошкільної освіти (ясла-садок) «Калинонька» загального типу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філії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Осьмаківський заклад дошкільної освіти (дитячий садок) «Капітошка» загального типу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філії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постійних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епутатських комісій: з питань планування, фінансів, бюджету, соціально-економічного розвитку, житлово-комунального господарства та комунального майна і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були внесені технічні правки,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проєкт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технічними правками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Осьмаківський заклад дошкільної освіти (дитячий садок) «Капітошка» загального типу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філії закладу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технічними правками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реорганізації шляхом приєднання юридичної особи – Киселівський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наступним розглядається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Киселівський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Даний проєкт рішення був розглянутий і підтриманий на засіданні постійної депутатської комісії з питань планування, фінансів, бюджету, соціально-економічного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житлово-комунального господарства та комунального майна. А на засіданні постійної депутатської комісії з питань охорони здоров’я, соціального захисту населення, освіти, культури, молоді, фізкультури і спорту депутати не дійшли згоди щодо проєкту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Лук’яненко І.Ф. про припинення </w:t>
      </w:r>
      <w:r>
        <w:rPr>
          <w:rStyle w:val="93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порядку реорганізації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Киселівськ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загальної середньої освіти І-ІІІ ступенів Менської міської ради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шляхом приєднання до Менського опорного закладу загальної середньої освіти І-ІІІ ступенів ім.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Т.Г. Шевченка Менської міської ради з подальшим створенням Киселівської філії Менського опорного закладу загальної середньої освіти І-ІІІ ступенів ім. Т.Г. Шевченка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обговоренні взяли участь депутати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Нерослик А.П., Палієнко Р.А., Миц О.Л., Невжинська О.Г., Гончар Н.В., Кравцов В.М., Івченко Ю.М.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підсумував дискусію і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Киселівський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в порядку реорганізації шляхом приєднання юридичної особи – Покровський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підтриманий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постійних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епутатських комісій: з питань планування, фінансів, бюджету, соціально-економічного розвитку, житлово-комунального господарства та комунального майна і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реорганізації шляхом приєднання юридичної особи – Покровський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Типової форми Контракту з керівниками комунальних закладів загальної середньої освіти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постійних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епутатських комісій: з питань планування, фінансів, бюджету, соціально-економічного розвитку, житлово-комунального господарства та комунального майна і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Типової форми Контракту з керівниками комунальних закладів загальної середньої освіти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та загальної чисельності КУ «Менський територіальний центр надання соціальних послуг»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зазначив, що до структури КУ вводиться посада - </w:t>
      </w:r>
      <w:r>
        <w:rPr>
          <w:rStyle w:val="93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фахівець із супроводу ветеранів війни та демобілізованих осіб</w:t>
      </w:r>
      <w:r>
        <w:rPr>
          <w:rStyle w:val="93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постійних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епутатських комісій: з питань планування, фінансів, бюджету, соціально-економічного розвитку, житлово-комунального господарства та комунального майна і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та загальної чисельності КУ «Менський територіальний центр надання соціальних послуг»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відведення земельної ділянки по зміні цільового призначення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відведення земельної ділянки по зміні цільового призначення з подальшим продажем права оренди на земельних торгах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технічних документацій із землеустрою щодо поділу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технічних документацій із землеустрою щодо поділу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технічних документацій із землеустрою щодо інвентаризації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технічних документацій із землеустрою щодо інвентаризації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підтриманий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АТ «ЧЕРНІГІВОБЛЕНЕРГО»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оренду АТ «ЧЕРНІГІВОБЛЕНЕРГО»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дозволів на виготовлення проєктів землеустрою щодо відведення земельних ділянок на умовах оренди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дозволів на виготовлення проєктів землеустрою щодо відведення земельних ділянок на умовах оренди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ьового призначення Барсегян А.А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Барсегян А.А.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землі, укладеного з Костючком А.А. на земельну ділянку в с. Покровське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депутатами були внесені технічні правки, які відображені у даному проєкті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технічними правками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договору оренди землі, укладеного з Костючком А.А. на земельну ділянку в с. Покровське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технічними правками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ребуває в оренді у Чулкова Ю.О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перебуває в оренді у Чулкова Ю.О.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землі, укладеного з Шевченко Є.А.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проєкт рішення був розглянутий на засіданні постійної депутатської комісії з питань містобудування, будівництва, земельних відносин та охорони природи, зауважень до проєкту рішення не надходило.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договору оренди землі, укладеного з Шевченко Є.А.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орендного користування земельною ділянкою гр. Ющенко К.В.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орендного користування земельною ділянкою гр. Ющенко К.В.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укладеного з Костючком А.А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договору оренди землі, укладеного з Костючком А.А.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земельної ділянки гр. Холоду О.Г.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земельної ділянки гр. Холоду О.Г.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земельної ділянки гр. Ющенко О.В.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земельної ділянки гр. Ющенко О.В.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земельної ділянки ПП «Міжрайпаливо»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зем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ельної ділянки ПП «Міжрайпаливо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землі, укладеного з Єфименко О.А.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землі, укладеного з Єфименко О.А.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документації із землеустрою з метою передачі земельних ділянок в постійне користування Блистівському закладу загальної середньої освіти I-III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документації із землеустрою з метою передачі земельних ділянок в постійне користування Блистівському закладу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документацій щодо поділу земельної ділянки ТОВ «МЕНА-АВАНГАРД»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- 1,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документацій щодо поділу земел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ьної ділянки ТОВ «МЕНА-АВАНГАРД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та передачу в постійне користування КП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підтриманий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технічними правками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та передачу в постійне користування КП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технічними правками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проєкту землеустрою щодо відведення земельної ділянки зі зміною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проєкту землеустрою щодо відведення земельної ділянки зі зміною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невитребувані земельні ділянки за межами с. Блистова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права оренди на невитребувані земельні ділянки за межами с. Блистова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тимчасове користування Фізичній особі – підприємцю Сироїду М.І. на умовах оренди невитребувані земельні ділянки (паї) за межами с. Блистова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тимчасове користування Фізичній особі – підприємцю Сироїду М.І. на умовах оренди невитребувані земельні ділянки (паї) за межами с. Блистова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статусу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Рекреаційні зони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територій загального користування, що знаходяться в межах міста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статусу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Рекреаційні зони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територій загального користування, що знаходяться в межах міста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голови Верховної Ради України щодо внесення змін до проєкту Закону України №13150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голови Верховної Ради України щодо внесення змін до проєкту Закону України №13150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встановлення меж водоохоронних зон та прибережних захисних смуг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виготовлення проекту землеустрою щодо встановлення меж водоохоронних зон та прибережних захисних смуг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гр. Лесюті А.М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в оренду для городництва гр. Лесюті А.М.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депутатами були внесені технічні правки та доповнення,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документації із землеустрою з метою передачі земельних ділянок в орендне користування АТ «ЧЕРНІГІВОБЛЕНЕРГО»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документації із землеустрою з метою передачі земельних ділянок в орендне кор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истування АТ «ЧЕРНІГІВОБЛЕНЕРГО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повноважень депутата Менської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Стальниченка Ю.В., який повідомив про те, що депутатка Півень О.О. повідомила про неможливість поєднувати роботу і виконання депутатських повноважень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тому просить про припинення депутатських повноважень достроково.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запитав, чи є у депутатів запитання, зауваження, доповнення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 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рішення. Враховуючи,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регламенту, етики, законності та правопорядку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зауважень до проєкту рішення не надходило,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повноважень депутата Менської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комунальну власність Менської міської територіальної громади матеріальних цінностей з подальшою передачею в оперативне управління та на баланс Комунальному закладу позашкільної освіти Менському центру дитячої та юнацької творчості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матеріальних цінностей з подальшою передачею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оперативне управління та на баланс Комунальному закладу позашкільної освіти Менському центру дитячої та юнацької творчості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в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Москальчук М.В., Миц О.Л.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запитав, чи є ще запитання, доповнення до проєкту рішення. Зважаючи на те, що запитань і доповнень у депутатів не виникло,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в комунальну власність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59 сесії Менської міської ради 8 скликання від 24 березня 2025 року № 202.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рофільної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депутатської комісії,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59 сесії Менської міської ради 8 скликання від 24 березня 2025 року №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майна та передачу його в оперативне управління КУ «Менський Територіальний центр НСП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здоров’я, соціального захисту населення, освіти, культури, молоді, фізкультури і спорту,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 власність Менської міської територіальної громади майна та передачу його в оперативне управління КУ «Менський Територіальний центр НСП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п'ятдесят дев'ятої сесії восьмого скликання від 24 березня 2025 року №155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оперативне управління частини приміщення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адресою:м.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Мена, вул. Героїв АТО,3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охорони здоров’я, соціального захисту населення, освіти, культури, молоді, фізкультури і спорту,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п'ятдесят дев'ятої сесії восьмого скликання від 24 березня 2025 року №155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оперативне управління частини приміщення за адресою:м. Мена, вул. Героїв АТО,3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334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№745 «Про затвердження Програми підтримки та розвитку місцевого самоврядування на території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№745 «Про затвердження Програми підтримки та розвитку місцевого самоврядування на території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в комунальну власність Менської міської територіальної громади та передачу його в господарське відання КП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планування, фінансів, бюджету, соціально-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майна в комунальну власність Менської міської територіальної громади та передачу його в господарське відання КП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в оренду для городництва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Лесюті В.М.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постійної депутатської комісії з питань містобудування, будівництва, земельних відносин та охорони природи,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до проєкту рішення не надходило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- 1,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в оренду для городництва гр.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Лесюті В.М.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afterAutospacing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питання, які включені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денного пленарного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8 скликання, розглянуті.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закрит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 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afterAutospacing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2710617"/>
      <w:docPartObj>
        <w:docPartGallery w:val="Page Numbers (Top of Page)"/>
        <w:docPartUnique w:val="true"/>
      </w:docPartObj>
      <w:rPr/>
    </w:sdtPr>
    <w:sdtContent>
      <w:p>
        <w:pPr>
          <w:pStyle w:val="90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  <w:p>
    <w:pPr>
      <w:pStyle w:val="9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/>
      <w:ind/>
    </w:pPr>
  </w:style>
  <w:style w:type="paragraph" w:styleId="729">
    <w:name w:val="Heading 1"/>
    <w:basedOn w:val="728"/>
    <w:next w:val="728"/>
    <w:link w:val="89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89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8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9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0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1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2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73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80" w:customStyle="1">
    <w:name w:val="Intense Quote Char"/>
    <w:basedOn w:val="7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1">
    <w:name w:val="Intense Reference"/>
    <w:basedOn w:val="73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82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888" w:customStyle="1">
    <w:name w:val="Foot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889" w:customStyle="1">
    <w:name w:val="End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891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92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3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4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5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6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7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</w:rPr>
  </w:style>
  <w:style w:type="character" w:styleId="898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</w:rPr>
  </w:style>
  <w:style w:type="character" w:styleId="899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00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1">
    <w:name w:val="Header"/>
    <w:basedOn w:val="728"/>
    <w:link w:val="90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02" w:customStyle="1">
    <w:name w:val="Верхний колонтитул Знак"/>
    <w:basedOn w:val="738"/>
    <w:link w:val="901"/>
    <w:uiPriority w:val="99"/>
    <w:pPr>
      <w:pBdr/>
      <w:spacing/>
      <w:ind/>
    </w:pPr>
  </w:style>
  <w:style w:type="paragraph" w:styleId="903">
    <w:name w:val="Footer"/>
    <w:basedOn w:val="728"/>
    <w:link w:val="90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04" w:customStyle="1">
    <w:name w:val="Нижний колонтитул Знак"/>
    <w:basedOn w:val="738"/>
    <w:link w:val="903"/>
    <w:uiPriority w:val="99"/>
    <w:pPr>
      <w:pBdr/>
      <w:spacing/>
      <w:ind/>
    </w:pPr>
  </w:style>
  <w:style w:type="paragraph" w:styleId="905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906">
    <w:name w:val="No Spacing"/>
    <w:uiPriority w:val="1"/>
    <w:qFormat/>
    <w:pPr>
      <w:pBdr/>
      <w:spacing w:after="0" w:line="240" w:lineRule="auto"/>
      <w:ind/>
    </w:pPr>
  </w:style>
  <w:style w:type="paragraph" w:styleId="907">
    <w:name w:val="Title"/>
    <w:basedOn w:val="728"/>
    <w:next w:val="728"/>
    <w:link w:val="9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8" w:customStyle="1">
    <w:name w:val="Заголовок Знак"/>
    <w:basedOn w:val="738"/>
    <w:link w:val="907"/>
    <w:uiPriority w:val="10"/>
    <w:pPr>
      <w:pBdr/>
      <w:spacing/>
      <w:ind/>
    </w:pPr>
    <w:rPr>
      <w:sz w:val="48"/>
      <w:szCs w:val="48"/>
    </w:rPr>
  </w:style>
  <w:style w:type="paragraph" w:styleId="909">
    <w:name w:val="Subtitle"/>
    <w:basedOn w:val="728"/>
    <w:next w:val="728"/>
    <w:link w:val="9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0" w:customStyle="1">
    <w:name w:val="Подзаголовок Знак"/>
    <w:basedOn w:val="738"/>
    <w:link w:val="909"/>
    <w:uiPriority w:val="11"/>
    <w:pPr>
      <w:pBdr/>
      <w:spacing/>
      <w:ind/>
    </w:pPr>
    <w:rPr>
      <w:sz w:val="24"/>
      <w:szCs w:val="24"/>
    </w:rPr>
  </w:style>
  <w:style w:type="paragraph" w:styleId="911">
    <w:name w:val="Quote"/>
    <w:basedOn w:val="728"/>
    <w:next w:val="728"/>
    <w:link w:val="912"/>
    <w:uiPriority w:val="29"/>
    <w:qFormat/>
    <w:pPr>
      <w:pBdr/>
      <w:spacing/>
      <w:ind w:right="720" w:left="720"/>
    </w:pPr>
    <w:rPr>
      <w:i/>
    </w:rPr>
  </w:style>
  <w:style w:type="character" w:styleId="912" w:customStyle="1">
    <w:name w:val="Цитата 2 Знак"/>
    <w:basedOn w:val="738"/>
    <w:link w:val="911"/>
    <w:uiPriority w:val="29"/>
    <w:pPr>
      <w:pBdr/>
      <w:spacing/>
      <w:ind/>
    </w:pPr>
    <w:rPr>
      <w:i/>
    </w:rPr>
  </w:style>
  <w:style w:type="paragraph" w:styleId="913">
    <w:name w:val="Intense Quote"/>
    <w:basedOn w:val="728"/>
    <w:next w:val="728"/>
    <w:link w:val="9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4" w:customStyle="1">
    <w:name w:val="Выделенная цитата Знак"/>
    <w:basedOn w:val="738"/>
    <w:link w:val="913"/>
    <w:uiPriority w:val="30"/>
    <w:pPr>
      <w:pBdr/>
      <w:spacing/>
      <w:ind/>
    </w:pPr>
    <w:rPr>
      <w:i/>
      <w:shd w:val="clear" w:color="auto" w:fill="f2f2f2"/>
    </w:rPr>
  </w:style>
  <w:style w:type="character" w:styleId="915" w:customStyle="1">
    <w:name w:val="Header Char"/>
    <w:basedOn w:val="738"/>
    <w:uiPriority w:val="99"/>
    <w:pPr>
      <w:pBdr/>
      <w:spacing/>
      <w:ind/>
    </w:pPr>
  </w:style>
  <w:style w:type="character" w:styleId="916" w:customStyle="1">
    <w:name w:val="Footer Char"/>
    <w:basedOn w:val="738"/>
    <w:uiPriority w:val="99"/>
    <w:pPr>
      <w:pBdr/>
      <w:spacing/>
      <w:ind/>
    </w:pPr>
  </w:style>
  <w:style w:type="character" w:styleId="917" w:customStyle="1">
    <w:name w:val="Caption Char"/>
    <w:uiPriority w:val="99"/>
    <w:pPr>
      <w:pBdr/>
      <w:spacing/>
      <w:ind/>
    </w:pPr>
  </w:style>
  <w:style w:type="character" w:styleId="91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9" w:customStyle="1">
    <w:name w:val="Текст сноски Знак"/>
    <w:basedOn w:val="738"/>
    <w:link w:val="920"/>
    <w:uiPriority w:val="99"/>
    <w:semiHidden/>
    <w:pPr>
      <w:pBdr/>
      <w:spacing/>
      <w:ind/>
    </w:pPr>
    <w:rPr>
      <w:sz w:val="18"/>
    </w:rPr>
  </w:style>
  <w:style w:type="paragraph" w:styleId="920">
    <w:name w:val="footnote text"/>
    <w:basedOn w:val="728"/>
    <w:link w:val="9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character" w:styleId="922" w:customStyle="1">
    <w:name w:val="Текст концевой сноски Знак"/>
    <w:basedOn w:val="738"/>
    <w:link w:val="923"/>
    <w:uiPriority w:val="99"/>
    <w:semiHidden/>
    <w:pPr>
      <w:pBdr/>
      <w:spacing/>
      <w:ind/>
    </w:pPr>
    <w:rPr>
      <w:sz w:val="20"/>
    </w:rPr>
  </w:style>
  <w:style w:type="paragraph" w:styleId="923">
    <w:name w:val="endnote text"/>
    <w:basedOn w:val="728"/>
    <w:link w:val="9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924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25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26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27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28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29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30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31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32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935">
    <w:name w:val="Normal (Web)"/>
    <w:basedOn w:val="7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docdata"/>
    <w:basedOn w:val="738"/>
    <w:pPr>
      <w:pBdr/>
      <w:spacing/>
      <w:ind/>
    </w:pPr>
  </w:style>
  <w:style w:type="paragraph" w:styleId="937" w:customStyle="1">
    <w:name w:val="5873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3099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User999</dc:creator>
  <cp:keywords/>
  <dc:description/>
  <cp:lastModifiedBy>СТАЛЬНИЧЕНКО Юрій Валерійович</cp:lastModifiedBy>
  <cp:revision>11</cp:revision>
  <dcterms:created xsi:type="dcterms:W3CDTF">2025-05-21T09:57:00Z</dcterms:created>
  <dcterms:modified xsi:type="dcterms:W3CDTF">2025-05-23T13:50:12Z</dcterms:modified>
</cp:coreProperties>
</file>