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5040"/>
          <w:tab w:val="left" w:leader="none" w:pos="6521"/>
        </w:tabs>
        <w:spacing/>
        <w:ind w:right="-5"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Bdr/>
        <w:tabs>
          <w:tab w:val="left" w:leader="none" w:pos="5040"/>
          <w:tab w:val="left" w:leader="none" w:pos="6521"/>
        </w:tabs>
        <w:spacing/>
        <w:ind w:right="-5"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61 сесії Менської міської ради 8 скликання </w:t>
      </w:r>
      <w:r>
        <w:rPr>
          <w:sz w:val="28"/>
          <w:szCs w:val="28"/>
        </w:rPr>
      </w:r>
    </w:p>
    <w:p>
      <w:pPr>
        <w:pBdr/>
        <w:tabs>
          <w:tab w:val="left" w:leader="none" w:pos="5040"/>
          <w:tab w:val="left" w:leader="none" w:pos="6521"/>
        </w:tabs>
        <w:spacing/>
        <w:ind w:right="-5"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травня 2025 року №</w:t>
      </w:r>
      <w:r>
        <w:rPr>
          <w:sz w:val="28"/>
          <w:szCs w:val="28"/>
        </w:rPr>
        <w:t xml:space="preserve"> 278</w:t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Аналіз регуляторного впливу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 xml:space="preserve">проєкту </w:t>
      </w:r>
      <w:r>
        <w:rPr>
          <w:b/>
          <w:sz w:val="28"/>
          <w:szCs w:val="28"/>
        </w:rPr>
        <w:t xml:space="preserve">рішення </w:t>
      </w:r>
      <w:r>
        <w:rPr>
          <w:b/>
          <w:sz w:val="28"/>
          <w:szCs w:val="28"/>
        </w:rPr>
        <w:t xml:space="preserve">Менської міської  територіальної громади </w:t>
      </w:r>
      <w:r>
        <w:rPr>
          <w:b/>
          <w:bCs/>
          <w:sz w:val="28"/>
          <w:szCs w:val="28"/>
          <w:lang w:eastAsia="en-US"/>
        </w:rPr>
        <w:t xml:space="preserve">«</w:t>
      </w:r>
      <w:r>
        <w:rPr>
          <w:b/>
          <w:sz w:val="28"/>
          <w:szCs w:val="28"/>
        </w:rPr>
        <w:t xml:space="preserve">Про ставки податків та зборів на території Менської міської територіальної громади з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року</w:t>
      </w:r>
      <w:r>
        <w:rPr>
          <w:b/>
          <w:bCs/>
          <w:sz w:val="28"/>
          <w:szCs w:val="28"/>
          <w:lang w:eastAsia="en-US"/>
        </w:rPr>
        <w:t xml:space="preserve">»</w:t>
      </w:r>
      <w:r>
        <w:rPr>
          <w:b/>
          <w:bCs/>
          <w:sz w:val="28"/>
          <w:szCs w:val="28"/>
          <w:lang w:eastAsia="en-US"/>
        </w:rPr>
      </w:r>
    </w:p>
    <w:p>
      <w:pPr>
        <w:pBdr/>
        <w:spacing/>
        <w:ind w:firstLine="567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Аналіз регуляторного акта розроблений на виконання та</w:t>
      </w:r>
      <w:r>
        <w:rPr>
          <w:bCs/>
          <w:sz w:val="28"/>
          <w:szCs w:val="28"/>
          <w:lang w:eastAsia="en-US"/>
        </w:rPr>
        <w:t xml:space="preserve"> з</w:t>
      </w:r>
      <w:r>
        <w:rPr>
          <w:bCs/>
          <w:sz w:val="28"/>
          <w:szCs w:val="28"/>
          <w:lang w:eastAsia="en-US"/>
        </w:rPr>
        <w:t xml:space="preserve"> дотриманням вимог Закону України «Про засади держа</w:t>
      </w:r>
      <w:r>
        <w:rPr>
          <w:bCs/>
          <w:sz w:val="28"/>
          <w:szCs w:val="28"/>
          <w:lang w:eastAsia="en-US"/>
        </w:rPr>
        <w:t xml:space="preserve">вної регуляторної політики у сфері господарської діяльності» та постанови Кабінету Міністрів України від 11.03.2004 р. №308 «Про затвердження методик проведення аналізу впливу та відстеження результативності регуляторного акта» зі змінами (надалі – Аналіз)</w:t>
      </w:r>
      <w:r>
        <w:rPr>
          <w:bCs/>
          <w:sz w:val="28"/>
          <w:szCs w:val="28"/>
          <w:lang w:eastAsia="en-US"/>
        </w:rPr>
        <w:t xml:space="preserve">, Закон</w:t>
      </w:r>
      <w:r>
        <w:rPr>
          <w:bCs/>
          <w:sz w:val="28"/>
          <w:szCs w:val="28"/>
          <w:lang w:eastAsia="en-US"/>
        </w:rPr>
        <w:t xml:space="preserve">у</w:t>
      </w:r>
      <w:r>
        <w:rPr>
          <w:bCs/>
          <w:sz w:val="28"/>
          <w:szCs w:val="28"/>
          <w:lang w:eastAsia="en-US"/>
        </w:rPr>
        <w:t xml:space="preserve"> України Про місцеве самоврядування в Україні</w:t>
      </w:r>
      <w:r>
        <w:rPr>
          <w:bCs/>
          <w:sz w:val="28"/>
          <w:szCs w:val="28"/>
          <w:lang w:eastAsia="en-US"/>
        </w:rPr>
        <w:t xml:space="preserve">, Бюджетний Кодекс України</w:t>
      </w:r>
      <w:r>
        <w:rPr>
          <w:bCs/>
          <w:sz w:val="28"/>
          <w:szCs w:val="28"/>
          <w:lang w:eastAsia="en-US"/>
        </w:rPr>
      </w:r>
    </w:p>
    <w:p>
      <w:pPr>
        <w:pStyle w:val="872"/>
        <w:numPr>
          <w:ilvl w:val="0"/>
          <w:numId w:val="39"/>
        </w:numPr>
        <w:pBdr/>
        <w:spacing w:after="0" w:line="240" w:lineRule="auto"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Визначення проблеми.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2"/>
        <w:pBdr/>
        <w:spacing w:after="0" w:line="240" w:lineRule="auto"/>
        <w:ind w:firstLine="567"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 моменту прийняття </w:t>
      </w:r>
      <w:r>
        <w:rPr>
          <w:rFonts w:ascii="Times New Roman" w:hAnsi="Times New Roman"/>
          <w:sz w:val="28"/>
          <w:szCs w:val="28"/>
        </w:rPr>
        <w:t xml:space="preserve">Рішення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Менської міської ради </w:t>
      </w:r>
      <w:r>
        <w:rPr>
          <w:rFonts w:ascii="Times New Roman" w:hAnsi="Times New Roman"/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Про ставки податків та зборів на території Менської міської  територіальної громади з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bCs/>
          <w:sz w:val="28"/>
          <w:szCs w:val="28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виникла необхідність перегляду та повторного обговорення місцевих податків і зборів.</w:t>
      </w:r>
      <w:r>
        <w:rPr>
          <w:rFonts w:ascii="Times New Roman" w:hAnsi="Times New Roman"/>
          <w:bCs/>
          <w:sz w:val="28"/>
          <w:szCs w:val="28"/>
        </w:rPr>
        <w:t xml:space="preserve"> Причинами є усні звернення громадян </w:t>
      </w:r>
      <w:r>
        <w:rPr>
          <w:rFonts w:ascii="Times New Roman" w:hAnsi="Times New Roman"/>
          <w:bCs/>
          <w:sz w:val="28"/>
          <w:szCs w:val="28"/>
        </w:rPr>
        <w:t xml:space="preserve">щодо необхідності перегляду ставок</w:t>
      </w:r>
      <w:r>
        <w:rPr>
          <w:rFonts w:ascii="Times New Roman" w:hAnsi="Times New Roman"/>
          <w:bCs/>
          <w:sz w:val="28"/>
          <w:szCs w:val="28"/>
        </w:rPr>
        <w:t xml:space="preserve"> та </w:t>
      </w:r>
      <w:r>
        <w:rPr>
          <w:rFonts w:ascii="Times New Roman" w:hAnsi="Times New Roman"/>
          <w:bCs/>
          <w:sz w:val="28"/>
          <w:szCs w:val="28"/>
        </w:rPr>
        <w:t xml:space="preserve">приведення рішення у відповідність до законодавчих вимог</w:t>
      </w:r>
      <w:r>
        <w:rPr>
          <w:rFonts w:ascii="Times New Roman" w:hAnsi="Times New Roman"/>
          <w:bCs/>
          <w:sz w:val="28"/>
          <w:szCs w:val="28"/>
        </w:rPr>
        <w:t xml:space="preserve"> враховуючи рекомендації Державної регуляторної служби України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Згідно </w:t>
      </w:r>
      <w:r>
        <w:rPr>
          <w:sz w:val="28"/>
          <w:szCs w:val="28"/>
          <w:shd w:val="clear" w:color="auto" w:fill="ffffff"/>
        </w:rPr>
        <w:t xml:space="preserve">підпункту </w:t>
      </w:r>
      <w:r>
        <w:rPr>
          <w:sz w:val="28"/>
          <w:szCs w:val="28"/>
          <w:shd w:val="clear" w:color="auto" w:fill="ffffff"/>
        </w:rPr>
        <w:t xml:space="preserve">12.3.</w:t>
      </w:r>
      <w:r>
        <w:rPr>
          <w:sz w:val="28"/>
          <w:szCs w:val="28"/>
          <w:shd w:val="clear" w:color="auto" w:fill="ffffff"/>
        </w:rPr>
        <w:t xml:space="preserve">2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пункту</w:t>
      </w:r>
      <w:r>
        <w:rPr>
          <w:sz w:val="28"/>
          <w:szCs w:val="28"/>
          <w:shd w:val="clear" w:color="auto" w:fill="ffffff"/>
        </w:rPr>
        <w:t xml:space="preserve"> 12.3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статті 12 Податкового кодексу України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 прийнятті рішення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встановлення місцевих податків та/або зборів обов'язково визначаються об'єкт оподаткування, платник податків і зборів, розмір ставки, податковий період та інші обов'язкові елементи, визначенні статтею 7 </w:t>
      </w:r>
      <w:r>
        <w:rPr>
          <w:sz w:val="28"/>
          <w:szCs w:val="28"/>
        </w:rPr>
        <w:t xml:space="preserve">Податкового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одексу </w:t>
      </w:r>
      <w:r>
        <w:rPr>
          <w:sz w:val="28"/>
          <w:szCs w:val="28"/>
        </w:rPr>
        <w:t xml:space="preserve">України </w:t>
      </w:r>
      <w:r>
        <w:rPr>
          <w:sz w:val="28"/>
          <w:szCs w:val="28"/>
        </w:rPr>
        <w:t xml:space="preserve">з дотриманням критеріїв, встановлених розділом XII Кодексу для відповідного місцевого податку чи збору.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вимоги законодавства є необхідність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визначити </w:t>
      </w:r>
      <w:r>
        <w:rPr>
          <w:sz w:val="28"/>
          <w:szCs w:val="28"/>
        </w:rPr>
        <w:t xml:space="preserve">всі </w:t>
      </w:r>
      <w:r>
        <w:rPr>
          <w:sz w:val="28"/>
          <w:szCs w:val="28"/>
        </w:rPr>
        <w:t xml:space="preserve">обов’язкові  елемент</w:t>
      </w:r>
      <w:r>
        <w:rPr>
          <w:sz w:val="28"/>
          <w:szCs w:val="28"/>
        </w:rPr>
        <w:t xml:space="preserve">и податків і зборів з зазначенням посилання на положення ПК;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встановити фіксовані розміри </w:t>
      </w:r>
      <w:r>
        <w:rPr>
          <w:sz w:val="28"/>
          <w:szCs w:val="28"/>
        </w:rPr>
        <w:t xml:space="preserve"> ставок єдиного податку залежно від видів господарської діяльності;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встановити фіксований розмір ставки збору за місця для паркування транспортних засобів, який буде діяти на території Менської міської територіальної громади;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врахувати вимоги щодо розміщення та оприлюднення інформації щодо податкових агентів, якими може здійснюватися справляння туристичного збору;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встановити ставки податку на нерухоме майно, відмінне від земельної ділянки</w:t>
      </w:r>
      <w:r>
        <w:rPr>
          <w:sz w:val="28"/>
          <w:szCs w:val="28"/>
        </w:rPr>
        <w:t xml:space="preserve">, для фізичних і юридичних осіб залежно від місця розташування (зональності) та обґрунтувати їх встановлення;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встановлення ставок земельного податку з урахуванням вимог статті 274 ПКУ</w:t>
      </w:r>
      <w:r>
        <w:rPr>
          <w:sz w:val="28"/>
          <w:szCs w:val="28"/>
        </w:rPr>
        <w:t xml:space="preserve">, враховуючи допустимі межі земельного податку для земель загального користування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72"/>
        <w:pBdr/>
        <w:spacing w:after="0" w:line="240" w:lineRule="auto"/>
        <w:ind w:firstLine="567"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Матеріальною і фінансовою основою місцевого самоврядування є рухоме і нерухоме майно, доходи місцевих бюджетів, інші кошти, земля, природні ресурси, що є у комунальній власності територіальної громади.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72"/>
        <w:pBdr/>
        <w:spacing w:after="0" w:line="240" w:lineRule="auto"/>
        <w:ind w:firstLine="567" w:lef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Відповідно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статті 12 Податкового кодексу України до повноважень міських рад належать встановлення ставок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місцевих податків та зборів, визначення переліку податкових агентів, прийняття рішення про вс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тановлення місцевих податків та зборів, зміну розміру їх ставок, об'єкта оподаткування, порядку справляння чи надання податкових пільг, яке тягне за собою зміну податкових зобов'язань платників податків та яке набирає чинності з початку бюджетного періоду.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2"/>
        <w:pBdr/>
        <w:spacing w:after="0" w:line="240" w:lineRule="auto"/>
        <w:ind w:firstLine="567" w:lef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Сільські, селищні, міські ради в межах своїх повноважень приймають рішення про встановлен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ня місцевих податків та зборів та податкових пільг зі сплати місцевих податків і зборів до 15 липня року, що передує бюджетному періоду, в якому планується застосовування встановлюваних місцевих податків та/або зборів, та про внесення змін до таких рішень.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ажливість проблеми при затвердженні місцевих податків</w:t>
      </w:r>
      <w:r>
        <w:rPr>
          <w:rFonts w:eastAsia="Calibri"/>
          <w:sz w:val="28"/>
          <w:szCs w:val="28"/>
          <w:lang w:eastAsia="en-US"/>
        </w:rPr>
        <w:t xml:space="preserve"> і зборів</w:t>
      </w:r>
      <w:r>
        <w:rPr>
          <w:rFonts w:eastAsia="Calibri"/>
          <w:sz w:val="28"/>
          <w:szCs w:val="28"/>
          <w:lang w:eastAsia="en-US"/>
        </w:rPr>
        <w:t xml:space="preserve"> полягає в необхідності наповнення міського бюджету та спрямування отриманих коштів від </w:t>
      </w:r>
      <w:r>
        <w:rPr>
          <w:rFonts w:eastAsia="Calibri"/>
          <w:sz w:val="28"/>
          <w:szCs w:val="28"/>
          <w:lang w:eastAsia="en-US"/>
        </w:rPr>
        <w:t xml:space="preserve">їх </w:t>
      </w:r>
      <w:r>
        <w:rPr>
          <w:rFonts w:eastAsia="Calibri"/>
          <w:sz w:val="28"/>
          <w:szCs w:val="28"/>
          <w:lang w:eastAsia="en-US"/>
        </w:rPr>
        <w:t xml:space="preserve">сплати на вирішення соціальних проблем територіальної громади та покращення інфраструктури .</w:t>
      </w:r>
      <w:r>
        <w:rPr>
          <w:rFonts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 міської ради </w:t>
      </w:r>
      <w:r>
        <w:rPr>
          <w:bCs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Про ставки податків та зборів на території Менської міської  територіальної громади з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року</w:t>
      </w:r>
      <w:r>
        <w:rPr>
          <w:bCs/>
          <w:sz w:val="28"/>
          <w:szCs w:val="28"/>
          <w:lang w:eastAsia="en-US"/>
        </w:rPr>
        <w:t xml:space="preserve">»</w:t>
      </w:r>
      <w:r>
        <w:rPr>
          <w:rStyle w:val="869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приймається з метою правового регулювання господарських і адміністративних відносин між органами місцевого самоврядування та суб’єктами господарювання, недопуще</w:t>
      </w:r>
      <w:r>
        <w:rPr>
          <w:sz w:val="28"/>
          <w:szCs w:val="28"/>
        </w:rPr>
        <w:t xml:space="preserve">ння суперечливих ситуацій, безумовного виконання Податкового кодексу України, за для виконання покладених повноважень на органи місцевого самоврядування, виконання програм соціально-економічного розвитку громади, забезпечення мінімальних соціальних потреб.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Основні групи, на які проблема справляє вплив:</w:t>
      </w:r>
      <w:r>
        <w:rPr>
          <w:i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47"/>
        <w:gridCol w:w="3194"/>
        <w:gridCol w:w="3187"/>
      </w:tblGrid>
      <w:tr>
        <w:trPr/>
        <w:tc>
          <w:tcPr>
            <w:shd w:val="clear" w:color="auto" w:fill="auto"/>
            <w:tcBorders/>
            <w:tcW w:w="3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Групи (підгрупи)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1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Так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1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Ні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2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Громадяни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1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1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2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 місцевого самоврядування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1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1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2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Суб’єкти господарювання, у тому числі суб’єкти малого підприємництва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1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1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Застосування ринкових механізмів для вирішення вказаної проблеми не є можливим, оскільки здійснення вищезазначених заходів є засобом державного регулювання та відповідно до Податкового кодексу України є компетенцією міської ради.</w:t>
      </w:r>
      <w:r>
        <w:rPr>
          <w:rFonts w:eastAsia="Calibri"/>
          <w:sz w:val="28"/>
          <w:szCs w:val="28"/>
          <w:lang w:eastAsia="en-US"/>
        </w:rPr>
      </w:r>
    </w:p>
    <w:p>
      <w:pPr>
        <w:pBdr/>
        <w:spacing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Зазначена проблема не може бути вирішена за допомогою діючих регуляторних актів з огляду на вимоги Податкового кодексу України. А саме, у разі, якщо міська рада у термін до 15 л</w:t>
      </w:r>
      <w:r>
        <w:rPr>
          <w:rFonts w:eastAsia="Calibri"/>
          <w:sz w:val="28"/>
          <w:szCs w:val="28"/>
          <w:lang w:eastAsia="en-US"/>
        </w:rPr>
        <w:t xml:space="preserve">ипня не прийняла  рішення про встановлення відповідних місцевих податків та/або зборів, що є обов’язковими згідно з нормами цього Кодексу, такі податки та/або збори справляються виходячи з норм цього Кодексу із застосуванням ставок, які діяли до 31 грудня </w:t>
      </w:r>
      <w:r>
        <w:rPr>
          <w:rFonts w:eastAsia="Calibri"/>
          <w:sz w:val="28"/>
          <w:szCs w:val="28"/>
          <w:lang w:eastAsia="en-US"/>
        </w:rPr>
        <w:t xml:space="preserve">року, що передує бюджетному періоду, в якому планується застосування таких місцевих податків та/або зборів.</w:t>
      </w:r>
      <w:r>
        <w:rPr>
          <w:rFonts w:eastAsia="Calibri"/>
          <w:sz w:val="28"/>
          <w:szCs w:val="28"/>
          <w:lang w:eastAsia="en-US"/>
        </w:rPr>
      </w:r>
    </w:p>
    <w:p>
      <w:pPr>
        <w:pBdr/>
        <w:spacing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Цілі державного регулювання. </w:t>
      </w:r>
      <w:r>
        <w:rPr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Проєкт регуляторного акта спрямований на розв’язання проблеми, визначеної у попередньому розділі АРВ, в цілому. Основними цілями його регулювання є:</w:t>
      </w:r>
      <w:r>
        <w:rPr>
          <w:sz w:val="28"/>
          <w:szCs w:val="28"/>
        </w:rPr>
      </w:r>
    </w:p>
    <w:p>
      <w:pPr>
        <w:pBdr/>
        <w:spacing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врегулювання місцевих податків та зборів на території </w:t>
      </w:r>
      <w:r>
        <w:rPr>
          <w:sz w:val="28"/>
          <w:szCs w:val="28"/>
        </w:rPr>
        <w:t xml:space="preserve">Менської міської </w:t>
      </w:r>
      <w:r>
        <w:rPr>
          <w:sz w:val="28"/>
          <w:szCs w:val="28"/>
        </w:rPr>
        <w:t xml:space="preserve">ТГ відповідно до Закону України «Про засади державної регуляторної політики у сфері господарської діяльності» та Податкового кодексу України;</w:t>
      </w:r>
      <w:r>
        <w:rPr>
          <w:sz w:val="28"/>
          <w:szCs w:val="28"/>
        </w:rPr>
      </w:r>
    </w:p>
    <w:p>
      <w:pPr>
        <w:pBdr/>
        <w:spacing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приведення </w:t>
      </w:r>
      <w:r>
        <w:rPr>
          <w:sz w:val="28"/>
          <w:szCs w:val="28"/>
        </w:rPr>
        <w:t xml:space="preserve">рішення</w:t>
      </w:r>
      <w:r>
        <w:rPr>
          <w:sz w:val="28"/>
          <w:szCs w:val="28"/>
        </w:rPr>
        <w:t xml:space="preserve"> у відповідність до </w:t>
      </w:r>
      <w:r>
        <w:rPr>
          <w:bCs/>
          <w:sz w:val="28"/>
          <w:szCs w:val="28"/>
        </w:rPr>
        <w:t xml:space="preserve">вимог Податкового кодексу України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Bdr/>
        <w:spacing/>
        <w:ind w:right="-5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встановлення доцільних та обґрунтованих розмірів ставок місцевих податків, зокрема по податку на майно (податку на нерухоме майно, відмінне від земельної ділянки, плати за землю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транспортного податку), туристичному збору, по єдиному податку (фізичним особам 1, 2 груп), відповідно до вимог Податкового кодексу України,</w:t>
      </w:r>
      <w:r>
        <w:rPr>
          <w:i/>
          <w:sz w:val="28"/>
          <w:szCs w:val="28"/>
        </w:rPr>
        <w:t xml:space="preserve"> </w:t>
      </w:r>
      <w:r>
        <w:rPr>
          <w:rStyle w:val="842"/>
          <w:sz w:val="28"/>
          <w:szCs w:val="28"/>
        </w:rPr>
        <w:t xml:space="preserve">які б враховували особливості території, інтереси громадян і суб’єктів господарювання</w:t>
      </w:r>
      <w:r>
        <w:rPr>
          <w:rStyle w:val="842"/>
          <w:sz w:val="28"/>
          <w:szCs w:val="28"/>
        </w:rPr>
        <w:t xml:space="preserve">;</w:t>
      </w:r>
      <w:r>
        <w:rPr>
          <w:color w:val="ff0000"/>
          <w:sz w:val="28"/>
          <w:szCs w:val="28"/>
        </w:rPr>
      </w:r>
    </w:p>
    <w:p>
      <w:pPr>
        <w:pBdr/>
        <w:spacing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прозорості та відкритості надходження та використання коштів бюджету;</w:t>
      </w:r>
      <w:r>
        <w:rPr>
          <w:sz w:val="28"/>
          <w:szCs w:val="28"/>
        </w:rPr>
      </w:r>
    </w:p>
    <w:p>
      <w:pPr>
        <w:pBdr/>
        <w:spacing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842"/>
          <w:sz w:val="28"/>
          <w:szCs w:val="28"/>
        </w:rPr>
        <w:t xml:space="preserve">встановлення пільг, щодо сплати </w:t>
      </w:r>
      <w:r>
        <w:rPr>
          <w:sz w:val="28"/>
          <w:szCs w:val="28"/>
        </w:rPr>
        <w:t xml:space="preserve">податку на нерухоме майно, відмінне від земельної ділянки, та земельного податку</w:t>
      </w:r>
      <w:r>
        <w:rPr>
          <w:rStyle w:val="842"/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Bdr/>
        <w:spacing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максимальної прозорості та відкритості органів місцевого самоврядування та вдосконалення відносин між </w:t>
      </w:r>
      <w:r>
        <w:rPr>
          <w:sz w:val="28"/>
          <w:szCs w:val="28"/>
        </w:rPr>
        <w:t xml:space="preserve">міською</w:t>
      </w:r>
      <w:r>
        <w:rPr>
          <w:sz w:val="28"/>
          <w:szCs w:val="28"/>
        </w:rPr>
        <w:t xml:space="preserve"> радою та суб’єктами господарювання, пов’язаними з оподаткуванням місцевими податками.</w:t>
      </w:r>
      <w:r>
        <w:rPr>
          <w:sz w:val="28"/>
          <w:szCs w:val="28"/>
        </w:rPr>
      </w:r>
    </w:p>
    <w:p>
      <w:pPr>
        <w:pBdr/>
        <w:spacing/>
        <w:ind w:right="-5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Відповідно до пункту </w:t>
      </w:r>
      <w:r>
        <w:rPr>
          <w:sz w:val="28"/>
          <w:szCs w:val="28"/>
          <w:shd w:val="clear" w:color="auto" w:fill="ffffff"/>
        </w:rPr>
        <w:t xml:space="preserve">12.3.5 статті 12 Податкового Кодексу України, у разі, якщо сільська, селищна, міська рада не прийняла рішення про встановлення відповідних місцевих податків і зборів, що є обов’язковими згідно з нормами цього Кодексу, такі податки до прийняття рі</w:t>
      </w:r>
      <w:r>
        <w:rPr>
          <w:sz w:val="28"/>
          <w:szCs w:val="28"/>
          <w:shd w:val="clear" w:color="auto" w:fill="ffffff"/>
        </w:rPr>
        <w:t xml:space="preserve">шення справляються виходячи з норм цього Кодексу із застосуванням ставок, які діяли до 31 грудня року, що передує бюджетному періоду, в якому планується застосування таких місцевих податків, тому рішення має бути вчасно прийняте, опубліковане та подане до </w:t>
      </w:r>
      <w:r>
        <w:rPr>
          <w:sz w:val="28"/>
          <w:szCs w:val="28"/>
        </w:rPr>
        <w:t xml:space="preserve">Менської державної податкової інспекції ГУ ДПС у Чернігівській області</w:t>
      </w:r>
      <w:r>
        <w:rPr>
          <w:sz w:val="28"/>
          <w:szCs w:val="28"/>
          <w:shd w:val="clear" w:color="auto" w:fill="ffffff"/>
        </w:rPr>
        <w:t xml:space="preserve"> .</w:t>
      </w:r>
      <w:r>
        <w:rPr>
          <w:sz w:val="28"/>
          <w:szCs w:val="28"/>
          <w:shd w:val="clear" w:color="auto" w:fill="ffffff"/>
        </w:rPr>
      </w:r>
    </w:p>
    <w:p>
      <w:pPr>
        <w:pBdr/>
        <w:spacing/>
        <w:ind w:right="-5" w:firstLine="709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3. Визначення та оцінка альтернативних способів досягнення встановлення цілей</w:t>
      </w:r>
      <w:r>
        <w:rPr>
          <w:sz w:val="28"/>
          <w:szCs w:val="28"/>
        </w:rPr>
        <w:t xml:space="preserve">.</w:t>
      </w:r>
      <w:r>
        <w:rPr>
          <w:color w:val="ff0000"/>
          <w:sz w:val="28"/>
          <w:szCs w:val="28"/>
          <w:shd w:val="clear" w:color="auto" w:fill="ffffff"/>
        </w:rPr>
      </w:r>
    </w:p>
    <w:p>
      <w:pPr>
        <w:pBdr/>
        <w:spacing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>
        <w:rPr>
          <w:iCs/>
          <w:sz w:val="28"/>
          <w:szCs w:val="28"/>
        </w:rPr>
        <w:t xml:space="preserve">1. Визначення альтернативних способів:</w:t>
      </w:r>
      <w:r>
        <w:rPr>
          <w:iCs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>
        <w:trPr/>
        <w:tc>
          <w:tcPr>
            <w:shd w:val="clear" w:color="auto" w:fill="auto"/>
            <w:tcBorders/>
            <w:tcW w:w="38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альтернативи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 альтернативи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8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8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1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прийняття регуляторного акта</w:t>
            </w:r>
            <w:r>
              <w:rPr>
                <w:sz w:val="24"/>
                <w:szCs w:val="24"/>
              </w:rPr>
              <w:t xml:space="preserve"> (залишення існуючої на даний момент ситуації без змін)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0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неприйнятна. Наслідком є </w:t>
            </w:r>
            <w:r>
              <w:rPr>
                <w:sz w:val="24"/>
                <w:szCs w:val="24"/>
              </w:rPr>
              <w:t xml:space="preserve">невідповідність законодавчим вимогам регуляторного акта про місцеві податки та збори. Не чітке визначення елементів податків та зборів. Недотримання вимог щодо граничних ставок земельного податку на землі загального користування. </w:t>
            </w:r>
            <w:r>
              <w:rPr>
                <w:sz w:val="24"/>
                <w:szCs w:val="24"/>
              </w:rPr>
              <w:t xml:space="preserve">Відсутність реагування на звернення громадян, унеможливлення висловити зауважень та пропозицій жителів громади.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8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2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Прийняття запропонованого регуляторного акта</w:t>
            </w:r>
            <w:r>
              <w:rPr>
                <w:i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0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Застосування альтернативи є найбільш прийнятним. Забезпечу</w:t>
            </w:r>
            <w:r>
              <w:rPr>
                <w:sz w:val="24"/>
                <w:szCs w:val="24"/>
              </w:rPr>
              <w:t xml:space="preserve">є досягнення цілей державного регулювання повною мірою. Ставки податку для об’єктів житлової та/або нежитлової нерухомості, що перебувають у власності фізичних і юридичних осіб, установлюються з повним дотриманням вимог Кодексу диференційовано залежно від </w:t>
            </w:r>
            <w:r>
              <w:rPr>
                <w:sz w:val="24"/>
                <w:szCs w:val="24"/>
              </w:rPr>
              <w:t xml:space="preserve">місця розташування </w:t>
            </w:r>
            <w:r>
              <w:rPr>
                <w:sz w:val="24"/>
                <w:szCs w:val="24"/>
              </w:rPr>
              <w:t xml:space="preserve">та типів таких об’єктів нерухомості. Встановлення диференційованого розміру ставок земельного под</w:t>
            </w:r>
            <w:r>
              <w:rPr>
                <w:sz w:val="24"/>
                <w:szCs w:val="24"/>
              </w:rPr>
              <w:t xml:space="preserve">атку відповідно до класифікації видів цільового призначення земель. Ставки податків були обговорені та узгоджені консультаційно, на робочих нарадах та зустрічах, на спільному засіданні постійних депутатських комісій, членами яких також є платники податків.</w:t>
            </w:r>
            <w:r>
              <w:rPr>
                <w:sz w:val="24"/>
                <w:szCs w:val="24"/>
              </w:rPr>
              <w:t xml:space="preserve"> Врегульовані питання щодо відповідності регуляторного акта чинно</w:t>
            </w:r>
            <w:r>
              <w:rPr>
                <w:sz w:val="24"/>
                <w:szCs w:val="24"/>
              </w:rPr>
              <w:t xml:space="preserve">му</w:t>
            </w:r>
            <w:r>
              <w:rPr>
                <w:sz w:val="24"/>
                <w:szCs w:val="24"/>
              </w:rPr>
              <w:t xml:space="preserve"> законодавств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. Дотримання прав громадян та суб’єктів господарювання.</w:t>
            </w: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firstLine="567"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Оцінка вибраних альтернативних способів досягнення цілей.</w:t>
      </w:r>
      <w:r>
        <w:rPr>
          <w:rFonts w:ascii="Times New Roman" w:hAnsi="Times New Roman"/>
          <w:iCs/>
          <w:sz w:val="28"/>
          <w:szCs w:val="28"/>
        </w:rPr>
      </w:r>
    </w:p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Оцінка впливу на сферу інтересів</w:t>
      </w:r>
      <w:r>
        <w:rPr>
          <w:rFonts w:ascii="Times New Roman" w:hAnsi="Times New Roman"/>
          <w:i/>
          <w:iCs/>
          <w:sz w:val="28"/>
          <w:szCs w:val="28"/>
        </w:rPr>
        <w:t xml:space="preserve"> держави,</w:t>
      </w:r>
      <w:r>
        <w:rPr>
          <w:rFonts w:ascii="Times New Roman" w:hAnsi="Times New Roman"/>
          <w:i/>
          <w:iCs/>
          <w:sz w:val="28"/>
          <w:szCs w:val="28"/>
        </w:rPr>
        <w:t xml:space="preserve"> органів місцевого самоврядування:</w:t>
      </w:r>
      <w:r>
        <w:rPr>
          <w:rFonts w:ascii="Times New Roman" w:hAnsi="Times New Roman"/>
          <w:i/>
          <w:iCs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547"/>
        <w:gridCol w:w="4224"/>
        <w:gridCol w:w="2800"/>
      </w:tblGrid>
      <w:tr>
        <w:trPr/>
        <w:tc>
          <w:tcPr>
            <w:tcBorders/>
            <w:tcW w:w="2547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альтернативи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224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Вигоди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Витрати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5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1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прийняття регуляторного акта</w:t>
            </w:r>
            <w:r>
              <w:rPr>
                <w:sz w:val="24"/>
                <w:szCs w:val="24"/>
              </w:rPr>
              <w:t xml:space="preserve"> (залишення існуючої на даний момент ситуації без змін)</w:t>
            </w:r>
            <w:r>
              <w:rPr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Borders/>
            <w:tcW w:w="4224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5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2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Прийняття запропонованого регуляторного акта</w:t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/>
            <w:tcW w:w="4224" w:type="dxa"/>
            <w:textDirection w:val="lrTb"/>
            <w:noWrap w:val="false"/>
          </w:tcPr>
          <w:p>
            <w:pPr>
              <w:pStyle w:val="829"/>
              <w:pBdr/>
              <w:spacing/>
              <w:ind/>
              <w:rPr>
                <w:rStyle w:val="842"/>
                <w:sz w:val="24"/>
                <w:szCs w:val="24"/>
                <w:lang w:val="uk-UA"/>
              </w:rPr>
            </w:pPr>
            <w:r>
              <w:rPr>
                <w:rStyle w:val="842"/>
                <w:sz w:val="24"/>
                <w:szCs w:val="24"/>
                <w:lang w:val="uk-UA"/>
              </w:rPr>
              <w:t xml:space="preserve">Забезпечує досягнення цілей державного регулювання.</w:t>
            </w:r>
            <w:r>
              <w:rPr>
                <w:rStyle w:val="842"/>
                <w:sz w:val="24"/>
                <w:szCs w:val="24"/>
                <w:lang w:val="uk-UA"/>
              </w:rPr>
            </w:r>
          </w:p>
          <w:p>
            <w:pPr>
              <w:pStyle w:val="829"/>
              <w:pBdr/>
              <w:spacing/>
              <w:ind/>
              <w:rPr>
                <w:rStyle w:val="842"/>
                <w:sz w:val="24"/>
                <w:szCs w:val="24"/>
                <w:lang w:val="uk-UA"/>
              </w:rPr>
            </w:pPr>
            <w:r>
              <w:rPr>
                <w:rStyle w:val="842"/>
                <w:sz w:val="24"/>
                <w:szCs w:val="24"/>
                <w:lang w:val="uk-UA"/>
              </w:rPr>
              <w:t xml:space="preserve">Забезпечує дотримання вимог Податкового кодексу України, реалізацію наданих органам місцевого самоврядування повноважень.</w:t>
            </w:r>
            <w:r>
              <w:rPr>
                <w:rStyle w:val="842"/>
                <w:sz w:val="24"/>
                <w:szCs w:val="24"/>
                <w:lang w:val="uk-UA"/>
              </w:rPr>
            </w:r>
          </w:p>
          <w:p>
            <w:pPr>
              <w:pStyle w:val="829"/>
              <w:pBdr/>
              <w:spacing/>
              <w:ind/>
              <w:rPr>
                <w:rStyle w:val="842"/>
                <w:sz w:val="24"/>
                <w:szCs w:val="24"/>
                <w:lang w:val="uk-UA"/>
              </w:rPr>
            </w:pPr>
            <w:r>
              <w:rPr>
                <w:rStyle w:val="842"/>
                <w:sz w:val="24"/>
                <w:szCs w:val="24"/>
                <w:lang w:val="uk-UA"/>
              </w:rPr>
              <w:t xml:space="preserve">Враховує пропозиції фізичних та юридичних осіб, які прийняли участь в обговорені проєкту рішення. </w:t>
            </w:r>
            <w:r>
              <w:rPr>
                <w:rStyle w:val="842"/>
                <w:sz w:val="24"/>
                <w:szCs w:val="24"/>
                <w:lang w:val="uk-UA"/>
              </w:rPr>
            </w:r>
          </w:p>
          <w:p>
            <w:pPr>
              <w:pStyle w:val="829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Вдосконалить відносини між міською радою, органом фіскальної служби та суб’єктами господарювання пов’язаних зі справлянням податків та зборів.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2800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Витрати пов’язані з підготовкою регуляторного акту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left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Оцінка впливу на сферу інтересів громадян:</w:t>
      </w:r>
      <w:r>
        <w:rPr>
          <w:rFonts w:ascii="Times New Roman" w:hAnsi="Times New Roman"/>
          <w:i/>
          <w:iCs/>
          <w:sz w:val="28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235"/>
        <w:gridCol w:w="4536"/>
        <w:gridCol w:w="3005"/>
      </w:tblGrid>
      <w:tr>
        <w:trPr/>
        <w:tc>
          <w:tcPr>
            <w:tcBorders/>
            <w:tcW w:w="223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альтернативи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Вигоди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0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Витрати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2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1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прийняття регуляторного акта</w:t>
            </w:r>
            <w:r>
              <w:rPr>
                <w:sz w:val="24"/>
                <w:szCs w:val="24"/>
              </w:rPr>
              <w:t xml:space="preserve"> (залишення існуючої на даний момент ситуації без змін)</w:t>
            </w:r>
            <w:r>
              <w:rPr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 затрати часу, необхідні для вивчення положень про місцеві податки та збори.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0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Сплата податків за діючими ставками.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Borders/>
            <w:tcW w:w="22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2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Прийняття запропонованого регуляторного акта</w:t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82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Сплата податків і зборів за обґрунтованими ставками. </w:t>
            </w:r>
            <w:r>
              <w:rPr>
                <w:sz w:val="24"/>
                <w:szCs w:val="24"/>
              </w:rPr>
            </w:r>
          </w:p>
          <w:p>
            <w:pPr>
              <w:pStyle w:val="829"/>
              <w:pBdr/>
              <w:spacing/>
              <w:ind/>
              <w:rPr>
                <w:rStyle w:val="842"/>
                <w:sz w:val="24"/>
                <w:szCs w:val="24"/>
                <w:lang w:val="uk-UA"/>
              </w:rPr>
            </w:pPr>
            <w:r>
              <w:rPr>
                <w:rStyle w:val="842"/>
                <w:sz w:val="24"/>
                <w:szCs w:val="24"/>
                <w:lang w:val="uk-UA"/>
              </w:rPr>
              <w:t xml:space="preserve">Враховує пропозиції фізичних та юридичних осіб, які прийняли участь в обговорені проєкту рішення. </w:t>
            </w:r>
            <w:r>
              <w:rPr>
                <w:rStyle w:val="842"/>
                <w:sz w:val="24"/>
                <w:szCs w:val="24"/>
                <w:lang w:val="uk-UA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Відкритість процедури, прозорість дій місцевого самоврядування.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Дотримання прав громадян.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0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Сплата податків за діючими ставками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(сплата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землі загального користування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обґрунтованими ставками)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709"/>
          <w:tab w:val="left" w:leader="none" w:pos="2085"/>
        </w:tabs>
        <w:spacing/>
        <w:ind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Оцінка впливу на сферу інтересів суб’єктів господарювання</w:t>
      </w:r>
      <w:r>
        <w:rPr>
          <w:i/>
          <w:iCs/>
          <w:sz w:val="28"/>
          <w:szCs w:val="28"/>
        </w:rPr>
      </w:r>
    </w:p>
    <w:tbl>
      <w:tblPr>
        <w:tblW w:w="9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235"/>
        <w:gridCol w:w="4145"/>
        <w:gridCol w:w="3191"/>
      </w:tblGrid>
      <w:tr>
        <w:trPr/>
        <w:tc>
          <w:tcPr>
            <w:tcBorders/>
            <w:tcW w:w="223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альтернативи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14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Вигоди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Витрати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9"/>
        </w:trPr>
        <w:tc>
          <w:tcPr>
            <w:tcBorders/>
            <w:tcW w:w="223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14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57"/>
        </w:trPr>
        <w:tc>
          <w:tcPr>
            <w:shd w:val="clear" w:color="auto" w:fill="auto"/>
            <w:tcBorders/>
            <w:tcW w:w="22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1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прийняття регуляторного акта</w:t>
            </w:r>
            <w:r>
              <w:rPr>
                <w:sz w:val="24"/>
                <w:szCs w:val="24"/>
              </w:rPr>
              <w:t xml:space="preserve"> (залишення існуючої на даний момент ситуації без змін)</w:t>
            </w:r>
            <w:r>
              <w:rPr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14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 затрати часу, необхідні для вивчення положень про місцеві податки та збори.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Сплата податків за діючими ставками.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048"/>
        </w:trPr>
        <w:tc>
          <w:tcPr>
            <w:shd w:val="clear" w:color="auto" w:fill="auto"/>
            <w:tcBorders/>
            <w:tcW w:w="22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2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Прийняття запропонованого регуляторного акта</w:t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145" w:type="dxa"/>
            <w:textDirection w:val="lrTb"/>
            <w:noWrap w:val="false"/>
          </w:tcPr>
          <w:p>
            <w:pPr>
              <w:pStyle w:val="829"/>
              <w:pBdr/>
              <w:spacing/>
              <w:ind/>
              <w:jc w:val="both"/>
              <w:rPr>
                <w:rStyle w:val="842"/>
                <w:sz w:val="24"/>
                <w:szCs w:val="24"/>
                <w:lang w:val="uk-UA"/>
              </w:rPr>
            </w:pPr>
            <w:r>
              <w:rPr>
                <w:rStyle w:val="842"/>
                <w:sz w:val="24"/>
                <w:szCs w:val="24"/>
                <w:lang w:val="uk-UA"/>
              </w:rPr>
              <w:t xml:space="preserve">Враховує пропозиції фізичних та юридичних осіб, які прийняли участь в обговорені проєкту рішення.</w:t>
            </w:r>
            <w:r>
              <w:rPr>
                <w:rStyle w:val="842"/>
                <w:sz w:val="24"/>
                <w:szCs w:val="24"/>
                <w:lang w:val="uk-UA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Вдосконалить відносини між міською радою, органом фіскальної служби та суб’єктами господарювання пов’язаних зі справлянням податків та зборів.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Сплата податків за діючими ставками</w:t>
            </w:r>
            <w:r>
              <w:rPr>
                <w:sz w:val="24"/>
                <w:szCs w:val="24"/>
              </w:rPr>
              <w:t xml:space="preserve"> (сплата </w:t>
            </w:r>
            <w:r>
              <w:rPr>
                <w:sz w:val="24"/>
                <w:szCs w:val="24"/>
              </w:rPr>
              <w:t xml:space="preserve">за землі загального користування</w:t>
            </w:r>
            <w:r>
              <w:rPr>
                <w:sz w:val="24"/>
                <w:szCs w:val="24"/>
              </w:rPr>
              <w:t xml:space="preserve"> за обґрунтованими ставками)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709"/>
          <w:tab w:val="left" w:leader="none" w:pos="2085"/>
        </w:tabs>
        <w:spacing/>
        <w: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Оцінка сумарних витрат за альтернативами</w:t>
      </w:r>
      <w:r>
        <w:rPr>
          <w:i/>
          <w:iCs/>
          <w:sz w:val="28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235"/>
        <w:gridCol w:w="4536"/>
        <w:gridCol w:w="3005"/>
      </w:tblGrid>
      <w:tr>
        <w:trPr/>
        <w:tc>
          <w:tcPr>
            <w:tcBorders/>
            <w:tcW w:w="223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альтернативи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Сумарні витрати за альтернативами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0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гривень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2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1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прийняття регуляторного акта</w:t>
            </w:r>
            <w:r>
              <w:rPr>
                <w:sz w:val="24"/>
                <w:szCs w:val="24"/>
              </w:rPr>
              <w:t xml:space="preserve"> (залишення існуючої на даний момент ситуації без змін)</w:t>
            </w:r>
            <w:r>
              <w:rPr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Сумарні витрати для суб’єктів господарювання велико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і середнього підприємництва  згідно з додатком 2 до Методики проведення аналізу впливу регуляторного акта (рядок 11 таблиці “Витрати на одного суб’єкта господарювання великого і середнього підприємництва, які виникають внаслідок дії регуляторного акта”)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0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2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2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Прийняття запропонованого регуляторного акта</w:t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Сумарні витрати для суб’єктів господарювання велико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 і середнього підприємництва  згідно з додатком 2 до Методики проведення аналізу впливу регуляторного акта (рядок 11 таблиці “Витрати на одного суб’єкта господарювання великого і середнього підприємництва, які виникають внаслідок дії регуляторного акта”)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0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709"/>
          <w:tab w:val="left" w:leader="none" w:pos="208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firstLine="567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Вибір найбільш оптимального альтернативного способу досягнення цілей.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Вартість балів визначається за чотирибальною системою оцінки ступеня досягнення визначених цілей, де:</w:t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4- цілі прийняття регуляторного акта, які можуть бути досягнуті повною мірою (проблема більше існувати не буде);</w:t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3- цілі прийняття регуляторного акта, які можуть бути досягнуті майже повною мірою (усі важливі аспекти проблеми існувати не будуть);</w:t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2- цілі прийняття регуляторного акта, які можуть бути досягнуті частково (проблема значно зменшиться, деякі важливі та критичні аспекти проблеми залишаться невирішеними);</w:t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pBdr/>
        <w:tabs>
          <w:tab w:val="left" w:leader="none" w:pos="1418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1-цілі прийняття регуляторного акта, які не можуть бути досягнуті (проблема продовжує існувати).</w:t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264"/>
        <w:gridCol w:w="2264"/>
        <w:gridCol w:w="5100"/>
      </w:tblGrid>
      <w:tr>
        <w:trPr/>
        <w:tc>
          <w:tcPr>
            <w:tcBorders/>
            <w:tcW w:w="2264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результативності (досягнення цілей під час вирішення проблеми)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 результативності (за чотирибальною системою оцінки)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100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Коментарі щодо присвоєння відповідного бала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4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100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26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1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прийняття регуляторного акта</w:t>
            </w:r>
            <w:r>
              <w:rPr>
                <w:sz w:val="24"/>
                <w:szCs w:val="24"/>
              </w:rPr>
              <w:t xml:space="preserve"> (залишення існуючої на даний момент ситуації без змін)</w:t>
            </w:r>
            <w:r>
              <w:rPr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100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Така альтернатива є неприйнятною в зв’язку з тим, що в даному випадку недотримано всіх вимог Податкового кодексу України. 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надає можливості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висловити зауважен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пропозиці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жителів громади.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26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Альтернатива 2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Прийняття запропонованого регуляторного акта</w:t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100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42"/>
                <w:rFonts w:ascii="Times New Roman" w:hAnsi="Times New Roman"/>
                <w:sz w:val="24"/>
                <w:szCs w:val="24"/>
              </w:rPr>
              <w:t xml:space="preserve">Цей регуляторний</w:t>
            </w:r>
            <w:r>
              <w:rPr>
                <w:rStyle w:val="842"/>
                <w:rFonts w:ascii="Times New Roman" w:hAnsi="Times New Roman"/>
                <w:sz w:val="24"/>
                <w:szCs w:val="24"/>
              </w:rPr>
              <w:t xml:space="preserve">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досягнення встановлених цілей, зокрема буде досягнуто баланс інтересів громади та платників податків</w:t>
            </w:r>
            <w:r>
              <w:rPr>
                <w:rStyle w:val="842"/>
                <w:rFonts w:ascii="Times New Roman" w:hAnsi="Times New Roman"/>
                <w:sz w:val="24"/>
                <w:szCs w:val="24"/>
              </w:rPr>
              <w:t xml:space="preserve"> та врегульовано законодавчі вимоги</w:t>
            </w:r>
            <w:r>
              <w:rPr>
                <w:rStyle w:val="842"/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Рейтинг результативності досягнення цілей.</w:t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122"/>
        <w:gridCol w:w="2391"/>
        <w:gridCol w:w="2286"/>
        <w:gridCol w:w="2829"/>
      </w:tblGrid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результативності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2391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Вигоди (підсумок)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86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Витрати (підсумок)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29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Обґрунтування відповідного місця альтернативи у рейтингу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391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86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29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Style w:val="842"/>
                <w:rFonts w:ascii="Times New Roman" w:hAnsi="Times New Roman"/>
                <w:sz w:val="24"/>
                <w:szCs w:val="24"/>
              </w:rPr>
            </w:pPr>
            <w:r>
              <w:rPr>
                <w:rStyle w:val="842"/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Style w:val="842"/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Альтернатива 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Прийняття запропонованого регуляторного акта</w:t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391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Держава, органи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Забезпечує досягнення цілей державного регулювання.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Забезпечує дотримання вимог Податкового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кодексу України, реалізацію наданих органам місцевого самоврядування повноважень.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Громадяни: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Сплата податків і зборів за обґрунтованими ставками.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Враховує пропозиції фізичних та юридичних осіб, які прийняли участь в обговорені проєкту рішення.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Відкритість процедури, прозорість дій місцевого самоврядування.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Дотримання прав громадян.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Суб’єкти господарювання: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Враховує пропозиції фізичних та юридичних осіб, які прийняли участь в обговорені проєкту рішення.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Вдосконалить відносини між міською радою, органом фіскальної служби та суб’єктами господарювання пов’язаних зі справлянням податків та зборів.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86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Держава, органи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Витрати пов’язані з підготовкою регуляторного акту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Громадяни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Суб’єкти господарювання: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Сплата податків за діючими ставками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(сплата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землі загального користування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обґрунтованими ставками)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29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42"/>
                <w:rFonts w:ascii="Times New Roman" w:hAnsi="Times New Roman"/>
                <w:sz w:val="24"/>
                <w:szCs w:val="24"/>
              </w:rPr>
              <w:t xml:space="preserve"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поступове досягнення встановлених цілей, </w:t>
            </w:r>
            <w:r>
              <w:rPr>
                <w:rStyle w:val="842"/>
                <w:rFonts w:ascii="Times New Roman" w:hAnsi="Times New Roman"/>
                <w:sz w:val="24"/>
                <w:szCs w:val="24"/>
              </w:rPr>
              <w:t xml:space="preserve">зокрема буде досягнуто баланс інтересів громади та платників податків.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Альтернатива 1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прийняття регуляторного акта</w:t>
            </w:r>
            <w:r>
              <w:rPr>
                <w:sz w:val="24"/>
                <w:szCs w:val="24"/>
              </w:rPr>
              <w:t xml:space="preserve"> (залишення існуючої на даний момент ситуації без змін)</w:t>
            </w:r>
            <w:r>
              <w:rPr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391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Держава, органи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Громадяни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Суб’єкти господарювання: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 затрати часу, необхідні для вивчення положень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місцеві податки та збори.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86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Держава, органи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Громадяни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208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Суб’єкти господарювання: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Сплата податків за діючими ставками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29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Така альтернатива є неприйнятною в зв’язку з тим, що в даному випадку недотримано всіх вимог Податкового кодексу України. 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надає можливості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висловити зауважен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пропозиці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жителів громади.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hd w:val="nil"/>
        <w:spacing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firstLine="709" w:left="0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Переваги обраної альтернативи</w:t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235"/>
        <w:gridCol w:w="4819"/>
        <w:gridCol w:w="2835"/>
      </w:tblGrid>
      <w:tr>
        <w:trPr/>
        <w:tc>
          <w:tcPr>
            <w:tcBorders/>
            <w:tcW w:w="223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Аргументи щодо переваги обраної альтернативи/причини відмови від альтернативи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Оцінка ризику зовнішніх чинників на дію запропонованого регуляторного акта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3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Альтернатива 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Прийняття запропонованого регуляторного акта</w:t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contextualSpacing w:val="false"/>
              <w:jc w:val="both"/>
              <w:rPr>
                <w:rStyle w:val="842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Альтернатива є  доцільною. </w:t>
            </w:r>
            <w:r>
              <w:rPr>
                <w:rStyle w:val="842"/>
                <w:rFonts w:ascii="Times New Roman" w:hAnsi="Times New Roman"/>
                <w:sz w:val="24"/>
                <w:szCs w:val="24"/>
              </w:rPr>
              <w:t xml:space="preserve"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досягнення встановлених цілей.</w:t>
            </w:r>
            <w:r>
              <w:rPr>
                <w:rStyle w:val="842"/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Прийняття даного рішення дасть можливість досягнути балансу інтересів  органу місцевого самоврядування та платників місцевих податків і зборів.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Зробити регуляторний акт доступнішим та більш зрозумілим для громадян.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Зміни до Податкового кодексу України, Бюджетного кодексу України та інших законодавчих актів.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3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Альтернатива 1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прийняття регуляторного акта</w:t>
            </w:r>
            <w:r>
              <w:rPr>
                <w:sz w:val="24"/>
                <w:szCs w:val="24"/>
              </w:rPr>
              <w:t xml:space="preserve"> (залишення існуючої на даний момент ситуації без змін)</w:t>
            </w:r>
            <w:r>
              <w:rPr>
                <w:sz w:val="24"/>
                <w:szCs w:val="24"/>
              </w:rPr>
            </w:r>
          </w:p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Style w:val="842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Дана альтернатива є не прийнятною.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забезпечує в повному обсязі права жителів громади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можливість висловити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зауважен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пропозиці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ї. Зростання соціальної напруги.</w:t>
            </w:r>
            <w:r>
              <w:rPr>
                <w:rStyle w:val="842"/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709"/>
                <w:tab w:val="left" w:leader="none" w:pos="20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Нові зміни у законодавстві.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72"/>
        <w:pBdr/>
        <w:tabs>
          <w:tab w:val="left" w:leader="none" w:pos="709"/>
          <w:tab w:val="left" w:leader="none" w:pos="2085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чином для реалізації обрано </w:t>
      </w:r>
      <w:r>
        <w:rPr>
          <w:rFonts w:ascii="Times New Roman" w:hAnsi="Times New Roman"/>
          <w:b/>
          <w:sz w:val="28"/>
          <w:szCs w:val="28"/>
        </w:rPr>
        <w:t xml:space="preserve">Альтернативу 2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перегляд та прийняття запропонованого регуляторного акту </w:t>
      </w:r>
      <w:r>
        <w:rPr>
          <w:rFonts w:ascii="Times New Roman" w:hAnsi="Times New Roman"/>
          <w:sz w:val="28"/>
          <w:szCs w:val="28"/>
        </w:rPr>
        <w:t xml:space="preserve">що забезпечить фінансову спроможність </w:t>
      </w:r>
      <w:r>
        <w:rPr>
          <w:rFonts w:ascii="Times New Roman" w:hAnsi="Times New Roman"/>
          <w:sz w:val="28"/>
          <w:szCs w:val="28"/>
        </w:rPr>
        <w:t xml:space="preserve">Менської міської </w:t>
      </w:r>
      <w:r>
        <w:rPr>
          <w:rFonts w:ascii="Times New Roman" w:hAnsi="Times New Roman"/>
          <w:sz w:val="28"/>
          <w:szCs w:val="28"/>
        </w:rPr>
        <w:t xml:space="preserve">територіальної громади</w:t>
      </w:r>
      <w:r>
        <w:rPr>
          <w:rFonts w:ascii="Times New Roman" w:hAnsi="Times New Roman"/>
          <w:sz w:val="28"/>
          <w:szCs w:val="28"/>
        </w:rPr>
        <w:t xml:space="preserve"> враховуючи інтереси</w:t>
      </w:r>
      <w:r>
        <w:rPr>
          <w:rFonts w:ascii="Times New Roman" w:hAnsi="Times New Roman"/>
          <w:sz w:val="28"/>
          <w:szCs w:val="28"/>
        </w:rPr>
        <w:t xml:space="preserve"> жителів громади та вимоги законодавчих актів.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Механізм, який пропонується застосувати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розв’язання проблеми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Основним механізмом, який забезпечить розв’язання визначеної про</w:t>
      </w:r>
      <w:r>
        <w:rPr>
          <w:sz w:val="28"/>
          <w:szCs w:val="28"/>
        </w:rPr>
        <w:t xml:space="preserve">блеми, є встановлення місцевих податків і зборів. По кожному виду місцевого податку визначаються платники податку, об’єкти оподаткування, база оподаткування, ставка податку, строк сплати податку, порядок сплати, податкові пільги та порядок їх застосування.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здійсненні регуляторної діяльності розглядаються обгрунтовані пропозиції та зауваження до проєкту рішення, надані суб’єктами господарювання, представниками територіальної громади у встановленому законом порядку.</w:t>
      </w:r>
      <w:r>
        <w:rPr>
          <w:sz w:val="28"/>
          <w:szCs w:val="28"/>
        </w:rPr>
      </w:r>
    </w:p>
    <w:p>
      <w:pPr>
        <w:pBdr/>
        <w:spacing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Заходи, які мають здійснити органи влади для впровадження цього регуляторного акта:  </w:t>
      </w:r>
      <w:r>
        <w:rPr>
          <w:b/>
          <w:sz w:val="28"/>
          <w:szCs w:val="28"/>
        </w:rPr>
      </w:r>
    </w:p>
    <w:p>
      <w:pPr>
        <w:pBdr/>
        <w:spacing/>
        <w:ind w:firstLine="708"/>
        <w:jc w:val="both"/>
        <w:rPr>
          <w:rStyle w:val="842"/>
          <w:sz w:val="28"/>
          <w:szCs w:val="28"/>
        </w:rPr>
      </w:pPr>
      <w:r>
        <w:rPr>
          <w:rStyle w:val="842"/>
          <w:sz w:val="28"/>
          <w:szCs w:val="28"/>
        </w:rPr>
        <w:t xml:space="preserve">1. Розробка та оприлюднення проєкту рішення </w:t>
      </w:r>
      <w:r>
        <w:rPr>
          <w:bCs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Про встановлення місцевих податків та зборів на території </w:t>
      </w:r>
      <w:r>
        <w:rPr>
          <w:sz w:val="28"/>
          <w:szCs w:val="28"/>
        </w:rPr>
        <w:t xml:space="preserve">Менської міської </w:t>
      </w:r>
      <w:r>
        <w:rPr>
          <w:sz w:val="28"/>
          <w:szCs w:val="28"/>
        </w:rPr>
        <w:t xml:space="preserve"> територіальної громади</w:t>
      </w:r>
      <w:r>
        <w:rPr>
          <w:bCs/>
          <w:sz w:val="28"/>
          <w:szCs w:val="28"/>
          <w:lang w:eastAsia="en-US"/>
        </w:rPr>
        <w:t xml:space="preserve">»</w:t>
      </w:r>
      <w:r>
        <w:rPr>
          <w:sz w:val="28"/>
          <w:szCs w:val="28"/>
        </w:rPr>
        <w:t xml:space="preserve"> та АРВ до нього </w:t>
      </w:r>
      <w:r>
        <w:rPr>
          <w:rStyle w:val="842"/>
          <w:sz w:val="28"/>
          <w:szCs w:val="28"/>
        </w:rPr>
        <w:t xml:space="preserve">з метою отримання зауважень та пропозицій.</w:t>
      </w:r>
      <w:r>
        <w:rPr>
          <w:rStyle w:val="842"/>
          <w:sz w:val="28"/>
          <w:szCs w:val="28"/>
        </w:rPr>
      </w:r>
    </w:p>
    <w:p>
      <w:pPr>
        <w:pBdr/>
        <w:spacing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Проведення консультацій з суб’єктами господарювання.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rStyle w:val="842"/>
          <w:sz w:val="28"/>
          <w:szCs w:val="28"/>
        </w:rPr>
      </w:pPr>
      <w:r>
        <w:rPr>
          <w:sz w:val="28"/>
          <w:szCs w:val="28"/>
        </w:rPr>
        <w:t xml:space="preserve">3. Підготовка експертного висновку відповідальної комісії, щодо відповідності проєкту рішення вимогам Закону України «Про засади державної регуляторної політики у сфері господарської діяльності».</w:t>
      </w:r>
      <w:r>
        <w:rPr>
          <w:rStyle w:val="842"/>
          <w:sz w:val="28"/>
          <w:szCs w:val="28"/>
        </w:rPr>
      </w:r>
    </w:p>
    <w:p>
      <w:pPr>
        <w:pStyle w:val="829"/>
        <w:pBdr/>
        <w:spacing/>
        <w:ind w:firstLine="709"/>
        <w:jc w:val="both"/>
        <w:rPr>
          <w:rStyle w:val="842"/>
          <w:sz w:val="28"/>
          <w:szCs w:val="28"/>
          <w:lang w:val="uk-UA"/>
        </w:rPr>
      </w:pPr>
      <w:r>
        <w:rPr>
          <w:rStyle w:val="842"/>
          <w:sz w:val="28"/>
          <w:szCs w:val="28"/>
          <w:lang w:val="uk-UA"/>
        </w:rPr>
        <w:t xml:space="preserve">4.</w:t>
      </w:r>
      <w:r>
        <w:rPr>
          <w:rStyle w:val="842"/>
          <w:sz w:val="28"/>
          <w:szCs w:val="28"/>
          <w:lang w:val="uk-UA"/>
        </w:rPr>
        <w:t xml:space="preserve"> Оприлюднення рішення.</w:t>
      </w:r>
      <w:r>
        <w:rPr>
          <w:rStyle w:val="842"/>
          <w:sz w:val="28"/>
          <w:szCs w:val="28"/>
          <w:lang w:val="uk-UA"/>
        </w:rPr>
      </w:r>
    </w:p>
    <w:p>
      <w:pPr>
        <w:pStyle w:val="829"/>
        <w:pBdr/>
        <w:spacing/>
        <w:ind w:firstLine="709"/>
        <w:jc w:val="both"/>
        <w:rPr>
          <w:rStyle w:val="842"/>
          <w:sz w:val="28"/>
          <w:szCs w:val="28"/>
          <w:lang w:val="uk-UA"/>
        </w:rPr>
      </w:pPr>
      <w:r>
        <w:rPr>
          <w:rStyle w:val="842"/>
          <w:sz w:val="28"/>
          <w:szCs w:val="28"/>
          <w:lang w:val="uk-UA"/>
        </w:rPr>
        <w:t xml:space="preserve">5.</w:t>
      </w:r>
      <w:r>
        <w:rPr>
          <w:rStyle w:val="842"/>
          <w:sz w:val="28"/>
          <w:szCs w:val="28"/>
          <w:lang w:val="uk-UA"/>
        </w:rPr>
        <w:t xml:space="preserve"> Проведення заходів з відстеження результативності прийнятого рішення.</w:t>
      </w:r>
      <w:r>
        <w:rPr>
          <w:rStyle w:val="842"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чином, упровадження регуляторного акта забезпечить дотримання норм чинного податкового законодавства як органами державної податкової </w:t>
      </w:r>
      <w:r>
        <w:rPr>
          <w:sz w:val="28"/>
          <w:szCs w:val="28"/>
        </w:rPr>
        <w:t xml:space="preserve">служби, органами місцевого самоврядування, так і суб’єктами господарювання в тому числі нерезидентами, які є власниками об’єктів житлової та/або нежитлової нерухомості, та громадянами, які сплачують податок на нерухоме майно, відмінне від земельної ділянки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земельного податку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транспортного податку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єдиного податку;</w:t>
      </w:r>
      <w:r>
        <w:rPr>
          <w:sz w:val="28"/>
          <w:szCs w:val="28"/>
        </w:rPr>
        <w:t xml:space="preserve"> збір за місця для паркування та туристичного збору </w:t>
      </w:r>
      <w:r>
        <w:rPr>
          <w:sz w:val="28"/>
          <w:szCs w:val="28"/>
        </w:rPr>
        <w:t xml:space="preserve">у порядку та на умовах, визначених Податковим Кодексом та </w:t>
      </w:r>
      <w:r>
        <w:rPr>
          <w:sz w:val="28"/>
          <w:szCs w:val="28"/>
        </w:rPr>
        <w:t xml:space="preserve">даним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рішенням.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результатами проведених розрахунків очікуваних  витрат та вигод СПД, прогнозується, що прийняття зазначеного проєкту рішення </w:t>
      </w:r>
      <w:r>
        <w:rPr>
          <w:sz w:val="28"/>
          <w:szCs w:val="28"/>
        </w:rPr>
        <w:t xml:space="preserve">немає негативного впливу на</w:t>
      </w:r>
      <w:r>
        <w:rPr>
          <w:sz w:val="28"/>
          <w:szCs w:val="28"/>
        </w:rPr>
        <w:t xml:space="preserve"> інтерес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суб’єктів господарювання, громадян та органу місцевого самоврядування</w:t>
      </w:r>
      <w:r>
        <w:rPr>
          <w:sz w:val="28"/>
          <w:szCs w:val="28"/>
        </w:rPr>
        <w:t xml:space="preserve"> та не збільшує податкове навантаження</w:t>
      </w:r>
      <w:r>
        <w:rPr>
          <w:sz w:val="28"/>
          <w:szCs w:val="28"/>
        </w:rPr>
        <w:t xml:space="preserve">. А його застосування буде ефективним для вирішення проблеми, зазначеній в розділі І цього АРВ.</w:t>
      </w:r>
      <w:r>
        <w:rPr>
          <w:sz w:val="28"/>
          <w:szCs w:val="28"/>
        </w:rPr>
      </w:r>
    </w:p>
    <w:p>
      <w:pPr>
        <w:pStyle w:val="811"/>
        <w:pBdr/>
        <w:spacing w:before="0"/>
        <w:ind w:firstLine="709" w:left="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6.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вимоги.</w:t>
      </w:r>
      <w:r>
        <w:rPr>
          <w:rFonts w:ascii="Times New Roman" w:hAnsi="Times New Roman"/>
          <w:i w:val="0"/>
          <w:sz w:val="28"/>
          <w:szCs w:val="28"/>
        </w:rPr>
      </w:r>
    </w:p>
    <w:p>
      <w:pPr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Бюджетні витрати на адміністрування регулювання суб’єктів малого підприємництва не підлягають р</w:t>
      </w:r>
      <w:r>
        <w:rPr>
          <w:sz w:val="28"/>
          <w:szCs w:val="28"/>
        </w:rPr>
        <w:t xml:space="preserve">озрахунку, оскільки встановлені нормами Податкового кодексу України. Органи місцевого самоврядування наділені повноваженнями лише встановлювати ставки місцевих податків та зборів, не змінюючи порядок їх обчислення, сплати та інші адміністративні процедури.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итрат на запровадження державного регулювання для суб'єктів малого пі</w:t>
      </w:r>
      <w:r>
        <w:rPr>
          <w:sz w:val="28"/>
          <w:szCs w:val="28"/>
        </w:rPr>
        <w:t xml:space="preserve">дприємництв</w:t>
      </w:r>
      <w:r>
        <w:rPr>
          <w:sz w:val="28"/>
          <w:szCs w:val="28"/>
        </w:rPr>
        <w:t xml:space="preserve">а не передбачено.</w:t>
      </w:r>
      <w:r>
        <w:rPr>
          <w:sz w:val="28"/>
          <w:szCs w:val="28"/>
        </w:rPr>
      </w:r>
    </w:p>
    <w:p>
      <w:pPr>
        <w:pStyle w:val="811"/>
        <w:pBdr/>
        <w:spacing w:before="0"/>
        <w:ind w:firstLine="709" w:left="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7. Обґрунтування запропонованого строку дії регуляторного акта.</w:t>
      </w:r>
      <w:r>
        <w:rPr>
          <w:rFonts w:ascii="Times New Roman" w:hAnsi="Times New Roman"/>
          <w:i w:val="0"/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Передбачається не обмежувати строк дії запропонованого регуляторного акта. В разі необхідності за підсумками відстежень та внесення змін до чинного законодавства України в частині справляння місцевих податків та зборів, відповідні зміни будуть внесені </w:t>
      </w:r>
      <w:r>
        <w:rPr>
          <w:sz w:val="28"/>
          <w:szCs w:val="28"/>
        </w:rPr>
        <w:t xml:space="preserve">шляхом внесення змін </w:t>
      </w:r>
      <w:r>
        <w:rPr>
          <w:sz w:val="28"/>
          <w:szCs w:val="28"/>
        </w:rPr>
        <w:t xml:space="preserve">до даного регуляторного акта</w:t>
      </w:r>
      <w:r>
        <w:rPr>
          <w:sz w:val="28"/>
          <w:szCs w:val="28"/>
        </w:rPr>
        <w:t xml:space="preserve">, або прийняття нового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разі якщо до 15 липня року, що передує бюджетному періоду, в якому планується застосування місцевих податків міська рада не прийняла рішення про встановлення місцевих податків, такі податки справляються із застосуванням ставок, які діяли до 31 грудня року,</w:t>
      </w:r>
      <w:r>
        <w:rPr>
          <w:sz w:val="28"/>
          <w:szCs w:val="28"/>
        </w:rPr>
        <w:t xml:space="preserve"> що передує бюджетному періоду, в якому планується застосування таких місцевих податків. Враховуючи  норми Бюджетного та Податкового кодексів України, якщо в рішенні органу місцевого самоврядування про встановлення місцевих податків та/або зборів, а також </w:t>
      </w:r>
      <w:r>
        <w:rPr>
          <w:sz w:val="28"/>
          <w:szCs w:val="28"/>
        </w:rPr>
        <w:t xml:space="preserve">податкових пільг з їх сплати не визначено термін його дії, таке рішення є чинним до прийняття нового рішення.</w:t>
      </w:r>
      <w:r>
        <w:rPr>
          <w:sz w:val="28"/>
          <w:szCs w:val="28"/>
        </w:rPr>
      </w:r>
    </w:p>
    <w:p>
      <w:pPr>
        <w:pStyle w:val="811"/>
        <w:pBdr/>
        <w:spacing w:before="0"/>
        <w:ind w:firstLine="709" w:left="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8. Визначення показників результативності дії регуляторного акта.</w:t>
      </w:r>
      <w:r>
        <w:rPr>
          <w:rFonts w:ascii="Times New Roman" w:hAnsi="Times New Roman"/>
          <w:i w:val="0"/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Виходячи з цілей державного регулювання, визначених у др</w:t>
      </w:r>
      <w:r>
        <w:rPr>
          <w:sz w:val="28"/>
          <w:szCs w:val="28"/>
        </w:rPr>
        <w:t xml:space="preserve">угому розділі АРВ, для відстеження результативності регуляторного акта слід визначити не менше ніж три кількісних показника, які безпосередньо характеризують результативність дії регуляторного акта та які підлягають контролю (відстеження результативності).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відстеження результативності дії регуляторного акта основними є такі показники: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сума надходжень до місцевого бюджету від сплати місцевих податків (податок на майно, плата за землю,</w:t>
      </w:r>
      <w:r>
        <w:rPr>
          <w:sz w:val="28"/>
          <w:szCs w:val="28"/>
        </w:rPr>
        <w:t xml:space="preserve"> орендна плата,</w:t>
      </w:r>
      <w:r>
        <w:rPr>
          <w:sz w:val="28"/>
          <w:szCs w:val="28"/>
        </w:rPr>
        <w:t xml:space="preserve"> туристичний збір, єдиний податок з фізичних осіб – підприємців 1,2 групи) тис. грн;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кількість суб’єктів господарської діяльності – платників місцевих податків (податок на майно, плата за землю, </w:t>
      </w:r>
      <w:r>
        <w:rPr>
          <w:sz w:val="28"/>
          <w:szCs w:val="28"/>
        </w:rPr>
        <w:t xml:space="preserve">орендна плата, </w:t>
      </w:r>
      <w:r>
        <w:rPr>
          <w:sz w:val="28"/>
          <w:szCs w:val="28"/>
        </w:rPr>
        <w:t xml:space="preserve">туристичний збір, єдиний податок з фізичних осіб – підприємців 1,2 групи), на яких поширюватиметься дія акта, осіб;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розмір коштів, що витрачатимуться суб’єктами господарювання та/або фізичними особами, пов’язаними з виконанням вимог акту;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рівень поінформованості суб’єктів господарювання та/або фізичних осіб з основних положень акта.</w:t>
      </w:r>
      <w:r>
        <w:rPr>
          <w:sz w:val="28"/>
          <w:szCs w:val="28"/>
        </w:rPr>
      </w:r>
    </w:p>
    <w:p>
      <w:pPr>
        <w:pStyle w:val="811"/>
        <w:pBdr/>
        <w:spacing w:before="0"/>
        <w:ind w:firstLine="709" w:left="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9. Визначення заходів, за допомогою яких здійснюватиметься відстеження результативності дії регуляторного акта.</w:t>
      </w:r>
      <w:r>
        <w:rPr>
          <w:rFonts w:ascii="Times New Roman" w:hAnsi="Times New Roman"/>
          <w:i w:val="0"/>
          <w:sz w:val="28"/>
          <w:szCs w:val="28"/>
        </w:rPr>
      </w:r>
    </w:p>
    <w:p>
      <w:pPr>
        <w:pStyle w:val="873"/>
        <w:pBdr/>
        <w:shd w:val="clear" w:color="auto" w:fill="auto"/>
        <w:spacing w:line="24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Оцінка ефективності регуляторного акта буде здійснена за допомогою проведення базового, повторного та періодичного відстеження результативності регуляторного акта. </w:t>
      </w:r>
      <w:r>
        <w:rPr>
          <w:color w:val="auto"/>
          <w:sz w:val="28"/>
          <w:szCs w:val="28"/>
        </w:rPr>
      </w:r>
    </w:p>
    <w:p>
      <w:pPr>
        <w:pStyle w:val="873"/>
        <w:pBdr/>
        <w:shd w:val="clear" w:color="auto" w:fill="auto"/>
        <w:spacing w:line="24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Відстеження результативності регуляторного акта буде проводитись  статистичним методом.</w:t>
      </w:r>
      <w:r>
        <w:rPr>
          <w:color w:val="auto"/>
          <w:sz w:val="28"/>
          <w:szCs w:val="28"/>
        </w:rPr>
      </w:r>
    </w:p>
    <w:p>
      <w:pPr>
        <w:pBdr/>
        <w:spacing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Вид даних, за допомогою яких здійснюватиметься відстеження результативності:</w:t>
      </w:r>
      <w:r>
        <w:rPr>
          <w:b/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Статистичні:</w:t>
      </w:r>
      <w:r>
        <w:rPr>
          <w:sz w:val="28"/>
          <w:szCs w:val="28"/>
        </w:rPr>
      </w:r>
    </w:p>
    <w:p>
      <w:pPr>
        <w:pStyle w:val="872"/>
        <w:numPr>
          <w:ilvl w:val="0"/>
          <w:numId w:val="38"/>
        </w:numPr>
        <w:pBdr/>
        <w:tabs>
          <w:tab w:val="left" w:leader="none" w:pos="993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аналітичні показники Менської державної податкової інспекції ГУ ДПС 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Чернігівській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області;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2"/>
        <w:numPr>
          <w:ilvl w:val="0"/>
          <w:numId w:val="38"/>
        </w:numPr>
        <w:pBdr/>
        <w:tabs>
          <w:tab w:val="left" w:leader="none" w:pos="993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інформація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ідділу</w:t>
      </w:r>
      <w:r>
        <w:rPr>
          <w:rFonts w:ascii="Times New Roman" w:hAnsi="Times New Roman"/>
          <w:sz w:val="28"/>
          <w:szCs w:val="28"/>
        </w:rPr>
        <w:t xml:space="preserve"> міжнародного співробітництва та економічного розвитку</w:t>
      </w:r>
      <w:r>
        <w:rPr>
          <w:rFonts w:ascii="Times New Roman" w:hAnsi="Times New Roman"/>
          <w:sz w:val="28"/>
          <w:szCs w:val="28"/>
        </w:rPr>
        <w:t xml:space="preserve">, відділу земельних відносин, містобудування та архітектури, виконавчого комітету Менської міської ради.</w:t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pBdr/>
        <w:shd w:val="clear" w:color="auto" w:fill="auto"/>
        <w:spacing w:line="24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Базове відстеження результативності регуляторного акта буде здійснюватися до дня набрання чинності цим регуляторним актом.</w:t>
      </w:r>
      <w:r>
        <w:rPr>
          <w:color w:val="auto"/>
          <w:sz w:val="28"/>
          <w:szCs w:val="28"/>
        </w:rPr>
      </w:r>
    </w:p>
    <w:p>
      <w:pPr>
        <w:pStyle w:val="873"/>
        <w:pBdr/>
        <w:shd w:val="clear" w:color="auto" w:fill="auto"/>
        <w:spacing w:line="24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Повторне відстеження результативності регуляторного акта буде здійснюватися в період до одного року, після набрання чинності регуляторним актом.</w:t>
      </w:r>
      <w:r>
        <w:rPr>
          <w:color w:val="auto"/>
          <w:sz w:val="28"/>
          <w:szCs w:val="28"/>
        </w:rPr>
      </w:r>
    </w:p>
    <w:p>
      <w:pPr>
        <w:pStyle w:val="873"/>
        <w:pBdr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pBdr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Bdr/>
        <w:spacing/>
        <w: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Фінансового управління</w:t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7655"/>
        </w:tabs>
        <w:spacing/>
        <w:ind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Менської міської ради</w:t>
      </w:r>
      <w:r>
        <w:rPr>
          <w:rFonts w:eastAsia="Calibri"/>
          <w:sz w:val="28"/>
          <w:szCs w:val="28"/>
        </w:rPr>
        <w:t xml:space="preserve">                                                          </w:t>
      </w:r>
      <w:r>
        <w:rPr>
          <w:rFonts w:eastAsia="Calibri"/>
          <w:sz w:val="28"/>
          <w:szCs w:val="28"/>
        </w:rPr>
        <w:t xml:space="preserve">Алла </w:t>
      </w:r>
      <w:r>
        <w:rPr>
          <w:rFonts w:eastAsia="Calibri"/>
          <w:sz w:val="28"/>
          <w:szCs w:val="28"/>
        </w:rPr>
        <w:t xml:space="preserve">Н</w:t>
      </w:r>
      <w:r>
        <w:rPr>
          <w:rFonts w:eastAsia="Calibri"/>
          <w:sz w:val="28"/>
          <w:szCs w:val="28"/>
        </w:rPr>
        <w:t xml:space="preserve">ЕРОСЛИК</w:t>
      </w:r>
      <w:r>
        <w:rPr>
          <w:rFonts w:eastAsia="Calibri"/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78" w:footer="709" w:gutter="0"/>
      <w:pgNumType w:chapStyle="1" w:start="82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Symbol">
    <w:panose1 w:val="05010000000000000000"/>
  </w:font>
  <w:font w:name="antiqua">
    <w:panose1 w:val="020704090202050204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pBdr/>
      <w:spacing/>
      <w:ind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83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15487133"/>
      <w:docPartObj>
        <w:docPartGallery w:val="Page Numbers (Top of Page)"/>
        <w:docPartUnique w:val="true"/>
      </w:docPartObj>
      <w:rPr/>
    </w:sdtPr>
    <w:sdtContent>
      <w:p>
        <w:pPr>
          <w:pStyle w:val="836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82874065"/>
      <w:docPartObj>
        <w:docPartGallery w:val="Page Numbers (Top of Page)"/>
        <w:docPartUnique w:val="true"/>
      </w:docPartObj>
      <w:rPr/>
    </w:sdtPr>
    <w:sdtContent>
      <w:p>
        <w:pPr>
          <w:pStyle w:val="836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  <w:lang w:val="ru-RU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  <w:lang w:val="ru-RU"/>
      </w:rPr>
      <w:start w:val="1"/>
      <w:suff w:val="tab"/>
    </w:lvl>
    <w:lvl w:ilvl="2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  <w:lang w:val="ru-RU"/>
      </w:rPr>
      <w:start w:val="1"/>
      <w:suff w:val="tab"/>
    </w:lvl>
    <w:lvl w:ilvl="3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  <w:lang w:val="ru-RU"/>
      </w:rPr>
      <w:start w:val="1"/>
      <w:suff w:val="tab"/>
    </w:lvl>
    <w:lvl w:ilvl="4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  <w:lang w:val="ru-RU"/>
      </w:rPr>
      <w:start w:val="1"/>
      <w:suff w:val="tab"/>
    </w:lvl>
    <w:lvl w:ilvl="5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  <w:lang w:val="ru-RU"/>
      </w:rPr>
      <w:start w:val="1"/>
      <w:suff w:val="tab"/>
    </w:lvl>
    <w:lvl w:ilvl="6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  <w:lang w:val="ru-RU"/>
      </w:rPr>
      <w:start w:val="1"/>
      <w:suff w:val="tab"/>
    </w:lvl>
    <w:lvl w:ilvl="7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  <w:lang w:val="ru-RU"/>
      </w:rPr>
      <w:start w:val="1"/>
      <w:suff w:val="tab"/>
    </w:lvl>
    <w:lvl w:ilvl="8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  <w:lang w:val="ru-RU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01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imes New Roman"/>
      </w:rPr>
      <w:start w:val="2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1068"/>
      </w:pPr>
      <w:rPr>
        <w:rFonts w:hint="default"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z w:val="24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428"/>
      </w:pPr>
      <w:rPr>
        <w:rFonts w:hint="default" w:ascii="Times New Roman" w:hAnsi="Times New Roman" w:eastAsia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1068"/>
      </w:pPr>
      <w:rPr>
        <w:rFonts w:hint="default" w:ascii="Symbol" w:hAnsi="Symbol" w:eastAsia="Times New Roman" w:cs="Times New Roman"/>
      </w:rPr>
      <w:start w:val="1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z w:val="24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1068"/>
      </w:pPr>
      <w:rPr>
        <w:rFonts w:hint="default" w:ascii="Symbol" w:hAnsi="Symbol" w:eastAsia="Times New Roman" w:cs="Times New Roman"/>
      </w:rPr>
      <w:start w:val="2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662"/>
        </w:tabs>
        <w:spacing/>
        <w:ind w:hanging="360" w:left="16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382"/>
        </w:tabs>
        <w:spacing/>
        <w:ind w:hanging="360" w:left="23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3102"/>
        </w:tabs>
        <w:spacing/>
        <w:ind w:hanging="180" w:left="31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822"/>
        </w:tabs>
        <w:spacing/>
        <w:ind w:hanging="360" w:left="38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542"/>
        </w:tabs>
        <w:spacing/>
        <w:ind w:hanging="360" w:left="45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262"/>
        </w:tabs>
        <w:spacing/>
        <w:ind w:hanging="180" w:left="52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982"/>
        </w:tabs>
        <w:spacing/>
        <w:ind w:hanging="360" w:left="59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702"/>
        </w:tabs>
        <w:spacing/>
        <w:ind w:hanging="360" w:left="67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422"/>
        </w:tabs>
        <w:spacing/>
        <w:ind w:hanging="180" w:left="7422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z w:val="24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1068"/>
      </w:pPr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2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01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imes New Roman"/>
      </w:rPr>
      <w:start w:val="1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 w:hanging="360" w:left="1143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3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4">
    <w:lvl w:ilvl="0">
      <w:isLgl w:val="false"/>
      <w:lvlJc w:val="left"/>
      <w:lvlText w:val="*"/>
      <w:numFmt w:val="bullet"/>
      <w:pPr>
        <w:pBdr/>
        <w:spacing/>
        <w:ind w:hanging="360" w:left="1103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63"/>
      </w:pPr>
      <w:rPr>
        <w:rFonts w:hint="default"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z w:val="24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left"/>
      <w:lvlText w:val=""/>
      <w:numFmt w:val="bullet"/>
      <w:pPr>
        <w:pBdr/>
        <w:spacing/>
        <w:ind w:hanging="360" w:left="1068"/>
      </w:pPr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num w:numId="1">
    <w:abstractNumId w:val="3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7"/>
  </w:num>
  <w:num w:numId="4">
    <w:abstractNumId w:val="36"/>
  </w:num>
  <w:num w:numId="5">
    <w:abstractNumId w:val="9"/>
  </w:num>
  <w:num w:numId="6">
    <w:abstractNumId w:val="20"/>
  </w:num>
  <w:num w:numId="7">
    <w:abstractNumId w:val="5"/>
  </w:num>
  <w:num w:numId="8">
    <w:abstractNumId w:val="26"/>
  </w:num>
  <w:num w:numId="9">
    <w:abstractNumId w:val="12"/>
  </w:num>
  <w:num w:numId="10">
    <w:abstractNumId w:val="23"/>
  </w:num>
  <w:num w:numId="11">
    <w:abstractNumId w:val="31"/>
  </w:num>
  <w:num w:numId="12">
    <w:abstractNumId w:val="13"/>
  </w:num>
  <w:num w:numId="13">
    <w:abstractNumId w:val="22"/>
  </w:num>
  <w:num w:numId="14">
    <w:abstractNumId w:val="2"/>
  </w:num>
  <w:num w:numId="15">
    <w:abstractNumId w:val="34"/>
  </w:num>
  <w:num w:numId="16">
    <w:abstractNumId w:val="3"/>
  </w:num>
  <w:num w:numId="17">
    <w:abstractNumId w:val="32"/>
  </w:num>
  <w:num w:numId="18">
    <w:abstractNumId w:val="24"/>
  </w:num>
  <w:num w:numId="19">
    <w:abstractNumId w:val="17"/>
  </w:num>
  <w:num w:numId="20">
    <w:abstractNumId w:val="25"/>
  </w:num>
  <w:num w:numId="21">
    <w:abstractNumId w:val="29"/>
  </w:num>
  <w:num w:numId="22">
    <w:abstractNumId w:val="7"/>
  </w:num>
  <w:num w:numId="23">
    <w:abstractNumId w:val="14"/>
  </w:num>
  <w:num w:numId="24">
    <w:abstractNumId w:val="10"/>
  </w:num>
  <w:num w:numId="25">
    <w:abstractNumId w:val="35"/>
  </w:num>
  <w:num w:numId="26">
    <w:abstractNumId w:val="16"/>
  </w:num>
  <w:num w:numId="27">
    <w:abstractNumId w:val="28"/>
  </w:num>
  <w:num w:numId="28">
    <w:abstractNumId w:val="33"/>
  </w:num>
  <w:num w:numId="29">
    <w:abstractNumId w:val="18"/>
  </w:num>
  <w:num w:numId="30">
    <w:abstractNumId w:val="6"/>
  </w:num>
  <w:num w:numId="31">
    <w:abstractNumId w:val="27"/>
  </w:num>
  <w:num w:numId="32">
    <w:abstractNumId w:val="38"/>
  </w:num>
  <w:num w:numId="33">
    <w:abstractNumId w:val="21"/>
  </w:num>
  <w:num w:numId="34">
    <w:abstractNumId w:val="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9"/>
  </w:num>
  <w:num w:numId="38">
    <w:abstractNumId w:val="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809"/>
    <w:next w:val="80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4"/>
    <w:basedOn w:val="809"/>
    <w:next w:val="80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809"/>
    <w:next w:val="80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809"/>
    <w:next w:val="80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09"/>
    <w:next w:val="80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09"/>
    <w:next w:val="80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09"/>
    <w:next w:val="80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12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1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12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1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1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1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1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1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1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12"/>
    <w:link w:val="8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09"/>
    <w:next w:val="80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1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09"/>
    <w:next w:val="80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1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09"/>
    <w:next w:val="80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1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12"/>
    <w:link w:val="836"/>
    <w:uiPriority w:val="99"/>
    <w:pPr>
      <w:pBdr/>
      <w:spacing/>
      <w:ind/>
    </w:pPr>
  </w:style>
  <w:style w:type="character" w:styleId="178">
    <w:name w:val="Footer Char"/>
    <w:basedOn w:val="812"/>
    <w:link w:val="838"/>
    <w:uiPriority w:val="99"/>
    <w:pPr>
      <w:pBdr/>
      <w:spacing/>
      <w:ind/>
    </w:pPr>
  </w:style>
  <w:style w:type="paragraph" w:styleId="179">
    <w:name w:val="Caption"/>
    <w:basedOn w:val="809"/>
    <w:next w:val="80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0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1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0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1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09"/>
    <w:next w:val="809"/>
    <w:uiPriority w:val="99"/>
    <w:unhideWhenUsed/>
    <w:pPr>
      <w:pBdr/>
      <w:spacing w:after="0" w:afterAutospacing="0"/>
      <w:ind/>
    </w:pPr>
  </w:style>
  <w:style w:type="paragraph" w:styleId="809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ru-RU"/>
    </w:rPr>
  </w:style>
  <w:style w:type="paragraph" w:styleId="810">
    <w:name w:val="Heading 1"/>
    <w:basedOn w:val="809"/>
    <w:next w:val="809"/>
    <w:link w:val="815"/>
    <w:qFormat/>
    <w:pPr>
      <w:keepNext w:val="true"/>
      <w:pBdr/>
      <w:spacing w:after="60" w:before="240"/>
      <w:ind/>
      <w:outlineLvl w:val="0"/>
    </w:pPr>
    <w:rPr>
      <w:rFonts w:ascii="Cambria" w:hAnsi="Cambria"/>
      <w:b/>
      <w:bCs/>
      <w:sz w:val="32"/>
      <w:szCs w:val="32"/>
    </w:rPr>
  </w:style>
  <w:style w:type="paragraph" w:styleId="811">
    <w:name w:val="Heading 3"/>
    <w:basedOn w:val="809"/>
    <w:next w:val="809"/>
    <w:link w:val="816"/>
    <w:qFormat/>
    <w:pPr>
      <w:keepNext w:val="true"/>
      <w:pBdr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table" w:styleId="8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4" w:default="1">
    <w:name w:val="No List"/>
    <w:uiPriority w:val="99"/>
    <w:semiHidden/>
    <w:unhideWhenUsed/>
    <w:pPr>
      <w:pBdr/>
      <w:spacing/>
      <w:ind/>
    </w:pPr>
  </w:style>
  <w:style w:type="character" w:styleId="815" w:customStyle="1">
    <w:name w:val="Заголовок 1 Знак"/>
    <w:basedOn w:val="812"/>
    <w:link w:val="810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816" w:customStyle="1">
    <w:name w:val="Заголовок 3 Знак"/>
    <w:basedOn w:val="812"/>
    <w:link w:val="811"/>
    <w:pPr>
      <w:pBdr/>
      <w:spacing/>
      <w:ind/>
    </w:pPr>
    <w:rPr>
      <w:rFonts w:ascii="antiqua" w:hAnsi="antiqua" w:eastAsia="Times New Roman" w:cs="Times New Roman"/>
      <w:b/>
      <w:i/>
      <w:sz w:val="26"/>
      <w:szCs w:val="20"/>
      <w:lang w:val="uk-UA" w:eastAsia="ru-RU"/>
    </w:rPr>
  </w:style>
  <w:style w:type="character" w:styleId="817">
    <w:name w:val="Hyperlink"/>
    <w:pPr>
      <w:pBdr/>
      <w:spacing/>
      <w:ind/>
    </w:pPr>
    <w:rPr>
      <w:color w:val="0000ff"/>
      <w:u w:val="single"/>
    </w:rPr>
  </w:style>
  <w:style w:type="paragraph" w:styleId="818">
    <w:name w:val="Normal (Web)"/>
    <w:basedOn w:val="809"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819">
    <w:name w:val="Title"/>
    <w:basedOn w:val="809"/>
    <w:link w:val="820"/>
    <w:qFormat/>
    <w:pPr>
      <w:pBdr/>
      <w:spacing/>
      <w:ind/>
      <w:jc w:val="center"/>
    </w:pPr>
    <w:rPr>
      <w:sz w:val="28"/>
    </w:rPr>
  </w:style>
  <w:style w:type="character" w:styleId="820" w:customStyle="1">
    <w:name w:val="Назва Знак"/>
    <w:basedOn w:val="812"/>
    <w:link w:val="81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821">
    <w:name w:val="Body Text"/>
    <w:basedOn w:val="809"/>
    <w:link w:val="852"/>
    <w:uiPriority w:val="99"/>
    <w:pPr>
      <w:pBdr/>
      <w:spacing/>
      <w:ind/>
      <w:jc w:val="both"/>
    </w:pPr>
    <w:rPr>
      <w:sz w:val="28"/>
    </w:rPr>
  </w:style>
  <w:style w:type="character" w:styleId="822" w:customStyle="1">
    <w:name w:val="Основной текст Знак"/>
    <w:basedOn w:val="812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3">
    <w:name w:val="Body Text Indent"/>
    <w:basedOn w:val="809"/>
    <w:link w:val="824"/>
    <w:pPr>
      <w:pBdr/>
      <w:spacing/>
      <w:ind w:firstLine="720"/>
      <w:jc w:val="both"/>
    </w:pPr>
    <w:rPr>
      <w:sz w:val="28"/>
    </w:rPr>
  </w:style>
  <w:style w:type="character" w:styleId="824" w:customStyle="1">
    <w:name w:val="Основний текст з відступом Знак"/>
    <w:basedOn w:val="812"/>
    <w:link w:val="823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val="uk-UA"/>
    </w:rPr>
  </w:style>
  <w:style w:type="paragraph" w:styleId="825">
    <w:name w:val="Body Text 2"/>
    <w:basedOn w:val="809"/>
    <w:link w:val="826"/>
    <w:pPr>
      <w:pBdr/>
      <w:spacing/>
      <w:ind/>
    </w:pPr>
    <w:rPr>
      <w:sz w:val="28"/>
    </w:rPr>
  </w:style>
  <w:style w:type="character" w:styleId="826" w:customStyle="1">
    <w:name w:val="Основний текст 2 Знак"/>
    <w:basedOn w:val="812"/>
    <w:link w:val="825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827">
    <w:name w:val="Body Text Indent 2"/>
    <w:basedOn w:val="809"/>
    <w:link w:val="828"/>
    <w:pPr>
      <w:pBdr/>
      <w:spacing/>
      <w:ind w:left="1931"/>
      <w:jc w:val="both"/>
    </w:pPr>
    <w:rPr>
      <w:sz w:val="28"/>
    </w:rPr>
  </w:style>
  <w:style w:type="character" w:styleId="828" w:customStyle="1">
    <w:name w:val="Основний текст з відступом 2 Знак"/>
    <w:basedOn w:val="812"/>
    <w:link w:val="827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829">
    <w:name w:val="No Spacing"/>
    <w:link w:val="861"/>
    <w:uiPriority w:val="99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0" w:customStyle="1">
    <w:name w:val="Font Style20"/>
    <w:pPr>
      <w:pBdr/>
      <w:spacing/>
      <w:ind/>
    </w:pPr>
    <w:rPr>
      <w:rFonts w:hint="default" w:ascii="Times New Roman" w:hAnsi="Times New Roman" w:cs="Times New Roman"/>
      <w:sz w:val="26"/>
      <w:szCs w:val="26"/>
    </w:rPr>
  </w:style>
  <w:style w:type="paragraph" w:styleId="831" w:customStyle="1">
    <w:name w:val="Нормальний текст"/>
    <w:basedOn w:val="809"/>
    <w:pPr>
      <w:pBdr/>
      <w:spacing w:before="120"/>
      <w:ind w:firstLine="567"/>
    </w:pPr>
    <w:rPr>
      <w:rFonts w:ascii="antiqua" w:hAnsi="antiqua"/>
      <w:sz w:val="26"/>
    </w:rPr>
  </w:style>
  <w:style w:type="paragraph" w:styleId="832" w:customStyle="1">
    <w:name w:val="Назва документа"/>
    <w:basedOn w:val="809"/>
    <w:next w:val="831"/>
    <w:uiPriority w:val="99"/>
    <w:pPr>
      <w:keepNext w:val="true"/>
      <w:keepLines w:val="true"/>
      <w:pBdr/>
      <w:spacing w:after="240" w:before="240"/>
      <w:ind/>
      <w:jc w:val="center"/>
    </w:pPr>
    <w:rPr>
      <w:rFonts w:ascii="antiqua" w:hAnsi="antiqua"/>
      <w:b/>
      <w:sz w:val="26"/>
    </w:rPr>
  </w:style>
  <w:style w:type="character" w:styleId="833" w:customStyle="1">
    <w:name w:val="Font Style14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paragraph" w:styleId="834">
    <w:name w:val="HTML Preformatted"/>
    <w:basedOn w:val="809"/>
    <w:link w:val="835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</w:rPr>
  </w:style>
  <w:style w:type="character" w:styleId="835" w:customStyle="1">
    <w:name w:val="Стандартний HTML Знак"/>
    <w:basedOn w:val="812"/>
    <w:link w:val="834"/>
    <w:uiPriority w:val="99"/>
    <w:pPr>
      <w:pBdr/>
      <w:spacing/>
      <w:ind/>
    </w:pPr>
    <w:rPr>
      <w:rFonts w:ascii="Courier New" w:hAnsi="Courier New" w:eastAsia="Times New Roman" w:cs="Times New Roman"/>
      <w:sz w:val="20"/>
      <w:szCs w:val="20"/>
    </w:rPr>
  </w:style>
  <w:style w:type="paragraph" w:styleId="836">
    <w:name w:val="Header"/>
    <w:basedOn w:val="809"/>
    <w:link w:val="837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7" w:customStyle="1">
    <w:name w:val="Верхній колонтитул Знак"/>
    <w:basedOn w:val="812"/>
    <w:link w:val="836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8">
    <w:name w:val="Footer"/>
    <w:basedOn w:val="809"/>
    <w:link w:val="83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9" w:customStyle="1">
    <w:name w:val="Нижній колонтитул Знак"/>
    <w:basedOn w:val="812"/>
    <w:link w:val="838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0">
    <w:name w:val="Balloon Text"/>
    <w:basedOn w:val="809"/>
    <w:link w:val="841"/>
    <w:pPr>
      <w:pBdr/>
      <w:spacing/>
      <w:ind/>
    </w:pPr>
    <w:rPr>
      <w:rFonts w:ascii="Tahoma" w:hAnsi="Tahoma"/>
      <w:sz w:val="16"/>
      <w:szCs w:val="16"/>
    </w:rPr>
  </w:style>
  <w:style w:type="character" w:styleId="841" w:customStyle="1">
    <w:name w:val="Текст у виносці Знак"/>
    <w:basedOn w:val="812"/>
    <w:link w:val="840"/>
    <w:pPr>
      <w:pBdr/>
      <w:spacing/>
      <w:ind/>
    </w:pPr>
    <w:rPr>
      <w:rFonts w:ascii="Tahoma" w:hAnsi="Tahoma" w:eastAsia="Times New Roman" w:cs="Times New Roman"/>
      <w:sz w:val="16"/>
      <w:szCs w:val="16"/>
    </w:rPr>
  </w:style>
  <w:style w:type="character" w:styleId="842" w:customStyle="1">
    <w:name w:val="Стиль2"/>
    <w:pPr>
      <w:pBdr/>
      <w:spacing/>
      <w:ind/>
    </w:pPr>
  </w:style>
  <w:style w:type="character" w:styleId="843">
    <w:name w:val="line number"/>
    <w:pPr>
      <w:pBdr/>
      <w:spacing/>
      <w:ind/>
    </w:pPr>
  </w:style>
  <w:style w:type="character" w:styleId="844" w:customStyle="1">
    <w:name w:val="rvts23"/>
    <w:pPr>
      <w:pBdr/>
      <w:spacing/>
      <w:ind/>
    </w:pPr>
  </w:style>
  <w:style w:type="paragraph" w:styleId="845" w:customStyle="1">
    <w:name w:val="Без интервала1"/>
    <w:pPr>
      <w:pBdr/>
      <w:spacing w:after="0" w:line="240" w:lineRule="auto"/>
      <w:ind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46" w:customStyle="1">
    <w:name w:val="Char Знак Знак Char Знак Знак Char Знак Знак Char Знак Знак Знак Знак Знак Знак Знак Знак Знак Знак Знак Знак"/>
    <w:basedOn w:val="809"/>
    <w:pPr>
      <w:pBdr/>
      <w:spacing/>
      <w:ind/>
    </w:pPr>
    <w:rPr>
      <w:rFonts w:ascii="Verdana" w:hAnsi="Verdana" w:cs="Verdana"/>
      <w:lang w:val="en-US" w:eastAsia="en-US"/>
    </w:rPr>
  </w:style>
  <w:style w:type="character" w:styleId="847" w:customStyle="1">
    <w:name w:val="rvts82"/>
    <w:pPr>
      <w:pBdr/>
      <w:spacing/>
      <w:ind/>
    </w:pPr>
  </w:style>
  <w:style w:type="table" w:styleId="848">
    <w:name w:val="Table Grid"/>
    <w:basedOn w:val="813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9" w:customStyle="1">
    <w:name w:val="Заголовок №1_"/>
    <w:link w:val="850"/>
    <w:pPr>
      <w:pBdr/>
      <w:spacing/>
      <w:ind/>
    </w:pPr>
    <w:rPr>
      <w:b/>
      <w:bCs/>
      <w:shd w:val="clear" w:color="auto" w:fill="ffffff"/>
    </w:rPr>
  </w:style>
  <w:style w:type="paragraph" w:styleId="850" w:customStyle="1">
    <w:name w:val="Заголовок №1"/>
    <w:basedOn w:val="809"/>
    <w:link w:val="849"/>
    <w:pPr>
      <w:widowControl w:val="false"/>
      <w:pBdr/>
      <w:shd w:val="clear" w:color="auto" w:fill="ffffff"/>
      <w:spacing w:after="240" w:line="274" w:lineRule="exact"/>
      <w:ind w:hanging="1580"/>
      <w:jc w:val="center"/>
      <w:outlineLvl w:val="0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851" w:customStyle="1">
    <w:name w:val="Строгий1"/>
    <w:pPr>
      <w:pBdr/>
      <w:spacing/>
      <w:ind/>
    </w:pPr>
    <w:rPr>
      <w:b/>
      <w:bCs/>
    </w:rPr>
  </w:style>
  <w:style w:type="character" w:styleId="852" w:customStyle="1">
    <w:name w:val="Основний текст Знак"/>
    <w:link w:val="821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val="uk-UA"/>
    </w:rPr>
  </w:style>
  <w:style w:type="character" w:styleId="853" w:customStyle="1">
    <w:name w:val="Основной текст (2)"/>
    <w:pPr>
      <w:pBdr/>
      <w:spacing/>
      <w:ind/>
    </w:pPr>
    <w:rPr>
      <w:rFonts w:ascii="Times New Roman" w:hAnsi="Times New Roman" w:cs="Times New Roman"/>
      <w:b/>
      <w:bCs/>
      <w:sz w:val="22"/>
      <w:szCs w:val="22"/>
      <w:u w:val="single"/>
    </w:rPr>
  </w:style>
  <w:style w:type="character" w:styleId="854" w:customStyle="1">
    <w:name w:val="Подпись к таблице_"/>
    <w:link w:val="855"/>
    <w:pPr>
      <w:pBdr/>
      <w:spacing/>
      <w:ind/>
    </w:pPr>
    <w:rPr>
      <w:shd w:val="clear" w:color="auto" w:fill="ffffff"/>
    </w:rPr>
  </w:style>
  <w:style w:type="paragraph" w:styleId="855" w:customStyle="1">
    <w:name w:val="Подпись к таблице"/>
    <w:basedOn w:val="809"/>
    <w:link w:val="854"/>
    <w:pPr>
      <w:widowControl w:val="false"/>
      <w:pBdr/>
      <w:shd w:val="clear" w:color="auto" w:fill="ffffff"/>
      <w:spacing w:line="240" w:lineRule="atLeast"/>
      <w:ind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56" w:customStyle="1">
    <w:name w:val="Основной текст (2)_"/>
    <w:link w:val="858"/>
    <w:pPr>
      <w:pBdr/>
      <w:spacing/>
      <w:ind/>
    </w:pPr>
    <w:rPr>
      <w:b/>
      <w:bCs/>
      <w:shd w:val="clear" w:color="auto" w:fill="ffffff"/>
    </w:rPr>
  </w:style>
  <w:style w:type="character" w:styleId="857" w:customStyle="1">
    <w:name w:val="Основной текст (2) + Не полужирный"/>
    <w:pPr>
      <w:pBdr/>
      <w:spacing/>
      <w:ind/>
    </w:pPr>
  </w:style>
  <w:style w:type="paragraph" w:styleId="858" w:customStyle="1">
    <w:name w:val="Основной текст (2)1"/>
    <w:basedOn w:val="809"/>
    <w:link w:val="856"/>
    <w:pPr>
      <w:widowControl w:val="false"/>
      <w:pBdr/>
      <w:shd w:val="clear" w:color="auto" w:fill="ffffff"/>
      <w:spacing w:line="274" w:lineRule="exact"/>
      <w:ind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859" w:customStyle="1">
    <w:name w:val="Знак Знак1 Знак"/>
    <w:basedOn w:val="809"/>
    <w:pPr>
      <w:pBdr/>
      <w:spacing/>
      <w:ind/>
    </w:pPr>
    <w:rPr>
      <w:rFonts w:ascii="Verdana" w:hAnsi="Verdana" w:cs="Verdana"/>
      <w:lang w:val="en-US" w:eastAsia="en-US"/>
    </w:rPr>
  </w:style>
  <w:style w:type="character" w:styleId="860" w:customStyle="1">
    <w:name w:val="apple-converted-space"/>
    <w:pPr>
      <w:pBdr/>
      <w:spacing/>
      <w:ind/>
    </w:pPr>
  </w:style>
  <w:style w:type="character" w:styleId="861" w:customStyle="1">
    <w:name w:val="Без інтервалів Знак"/>
    <w:link w:val="829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2">
    <w:name w:val="Body Text Indent 3"/>
    <w:basedOn w:val="809"/>
    <w:link w:val="863"/>
    <w:pPr>
      <w:pBdr/>
      <w:spacing w:after="120"/>
      <w:ind w:left="283"/>
    </w:pPr>
    <w:rPr>
      <w:sz w:val="16"/>
      <w:szCs w:val="16"/>
    </w:rPr>
  </w:style>
  <w:style w:type="character" w:styleId="863" w:customStyle="1">
    <w:name w:val="Основний текст з відступом 3 Знак"/>
    <w:basedOn w:val="812"/>
    <w:link w:val="862"/>
    <w:pPr>
      <w:pBdr/>
      <w:spacing/>
      <w:ind/>
    </w:pPr>
    <w:rPr>
      <w:rFonts w:ascii="Times New Roman" w:hAnsi="Times New Roman" w:eastAsia="Times New Roman" w:cs="Times New Roman"/>
      <w:sz w:val="16"/>
      <w:szCs w:val="16"/>
    </w:rPr>
  </w:style>
  <w:style w:type="character" w:styleId="864">
    <w:name w:val="Emphasis"/>
    <w:uiPriority w:val="20"/>
    <w:qFormat/>
    <w:pPr>
      <w:pBdr/>
      <w:spacing/>
      <w:ind/>
    </w:pPr>
    <w:rPr>
      <w:i/>
      <w:iCs/>
    </w:rPr>
  </w:style>
  <w:style w:type="character" w:styleId="865" w:customStyle="1">
    <w:name w:val="Основной текст + Полужирный"/>
    <w:pPr>
      <w:pBdr/>
      <w:spacing/>
      <w:ind/>
    </w:pPr>
    <w:rPr>
      <w:rFonts w:ascii="Times New Roman" w:hAnsi="Times New Roman" w:cs="Times New Roman"/>
      <w:b/>
      <w:bCs/>
      <w:sz w:val="22"/>
      <w:szCs w:val="22"/>
      <w:u w:val="single"/>
    </w:rPr>
  </w:style>
  <w:style w:type="character" w:styleId="866" w:customStyle="1">
    <w:name w:val="Основной текст + Полужирный1"/>
    <w:pPr>
      <w:pBdr/>
      <w:spacing/>
      <w:ind/>
    </w:pPr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867" w:customStyle="1">
    <w:name w:val="Колонтитул"/>
    <w:pPr>
      <w:pBdr/>
      <w:spacing/>
      <w:ind/>
    </w:pPr>
    <w:rPr>
      <w:rFonts w:ascii="Times New Roman" w:hAnsi="Times New Roman" w:cs="Times New Roman"/>
      <w:sz w:val="22"/>
      <w:szCs w:val="22"/>
      <w:u w:val="none"/>
    </w:rPr>
  </w:style>
  <w:style w:type="paragraph" w:styleId="868" w:customStyle="1">
    <w:name w:val="rvps2"/>
    <w:basedOn w:val="809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869">
    <w:name w:val="Strong"/>
    <w:qFormat/>
    <w:pPr>
      <w:pBdr/>
      <w:spacing/>
      <w:ind/>
    </w:pPr>
    <w:rPr>
      <w:b/>
      <w:bCs/>
    </w:rPr>
  </w:style>
  <w:style w:type="character" w:styleId="870" w:customStyle="1">
    <w:name w:val="Подпись к таблице (2)_"/>
    <w:link w:val="871"/>
    <w:pPr>
      <w:pBdr/>
      <w:spacing/>
      <w:ind/>
    </w:pPr>
    <w:rPr>
      <w:b/>
      <w:bCs/>
      <w:shd w:val="clear" w:color="auto" w:fill="ffffff"/>
    </w:rPr>
  </w:style>
  <w:style w:type="paragraph" w:styleId="871" w:customStyle="1">
    <w:name w:val="Подпись к таблице (2)"/>
    <w:basedOn w:val="809"/>
    <w:link w:val="870"/>
    <w:pPr>
      <w:widowControl w:val="false"/>
      <w:pBdr/>
      <w:shd w:val="clear" w:color="auto" w:fill="ffffff"/>
      <w:spacing w:line="240" w:lineRule="atLeast"/>
      <w:ind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872">
    <w:name w:val="List Paragraph"/>
    <w:basedOn w:val="809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873" w:customStyle="1">
    <w:name w:val="Основной текст3"/>
    <w:basedOn w:val="809"/>
    <w:uiPriority w:val="99"/>
    <w:pPr>
      <w:widowControl w:val="false"/>
      <w:pBdr/>
      <w:shd w:val="clear" w:color="auto" w:fill="ffffff"/>
      <w:spacing w:line="266" w:lineRule="exact"/>
      <w:ind/>
    </w:pPr>
    <w:rPr>
      <w:color w:val="000000"/>
      <w:sz w:val="23"/>
      <w:szCs w:val="23"/>
    </w:rPr>
  </w:style>
  <w:style w:type="paragraph" w:styleId="874" w:customStyle="1">
    <w:name w:val="StyleZakonu"/>
    <w:basedOn w:val="809"/>
    <w:link w:val="875"/>
    <w:uiPriority w:val="99"/>
    <w:pPr>
      <w:pBdr/>
      <w:spacing w:after="60" w:line="220" w:lineRule="exact"/>
      <w:ind w:firstLine="284"/>
      <w:jc w:val="both"/>
    </w:pPr>
  </w:style>
  <w:style w:type="character" w:styleId="875" w:customStyle="1">
    <w:name w:val="StyleZakonu Знак"/>
    <w:link w:val="874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D8D8-7CC9-48D6-9AA5-E53C613A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MSDN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СТАЛЬНИЧЕНКО Юрій Валерійович</cp:lastModifiedBy>
  <cp:revision>50</cp:revision>
  <dcterms:created xsi:type="dcterms:W3CDTF">2024-05-16T12:54:00Z</dcterms:created>
  <dcterms:modified xsi:type="dcterms:W3CDTF">2025-05-20T15:41:19Z</dcterms:modified>
</cp:coreProperties>
</file>