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5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5"/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шістдесят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перша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113" w:after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113" w:after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травня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  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                       № 267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Style w:val="911"/>
        <w:pBdr/>
        <w:spacing w:after="113" w:afterAutospacing="0" w:before="0" w:beforeAutospacing="0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Перелік</w:t>
      </w:r>
      <w:r>
        <w:rPr>
          <w:b/>
          <w:bCs/>
          <w:color w:val="000000"/>
          <w:sz w:val="28"/>
          <w:szCs w:val="28"/>
        </w:rPr>
        <w:t xml:space="preserve">ів</w:t>
      </w:r>
      <w:r>
        <w:rPr>
          <w:b/>
          <w:bCs/>
          <w:color w:val="000000"/>
          <w:sz w:val="28"/>
          <w:szCs w:val="28"/>
        </w:rPr>
        <w:t xml:space="preserve"> адміністративних послуг, які надаються через відділ «Центр надання адміністративних послуг»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та його віддалені робочі місця; затвердження Переліків </w:t>
      </w:r>
      <w:r>
        <w:rPr>
          <w:b/>
          <w:bCs/>
          <w:color w:val="000000"/>
          <w:sz w:val="28"/>
          <w:szCs w:val="28"/>
        </w:rPr>
        <w:t xml:space="preserve">адміністративних послуг, які надаються через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пересувн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віддален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 </w:t>
      </w:r>
      <w:r>
        <w:rPr>
          <w:b/>
          <w:bCs/>
          <w:color w:val="000000"/>
          <w:sz w:val="28"/>
          <w:szCs w:val="28"/>
        </w:rPr>
        <w:t xml:space="preserve">відділ</w:t>
      </w:r>
      <w:r>
        <w:rPr>
          <w:b/>
          <w:bCs/>
          <w:color w:val="000000"/>
          <w:sz w:val="28"/>
          <w:szCs w:val="28"/>
        </w:rPr>
        <w:t xml:space="preserve">у</w:t>
      </w:r>
      <w:r>
        <w:rPr>
          <w:b/>
          <w:bCs/>
          <w:color w:val="000000"/>
          <w:sz w:val="28"/>
          <w:szCs w:val="28"/>
        </w:rPr>
        <w:t xml:space="preserve"> «Центр надання адміністративних послуг»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країни «Про адміністративні послуги», статті 26 Закону України “Про місцеве самоврядування в Україні”, Положення про відділ “Центр надання адміністративних послуг”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розпорядження Кабінету Міністрів України від 16 травня 2014 року № 523-р “Деякі питання надання адміністративних послуг органів виконавчої влади через центри надання адміністративних послуг”, 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Переліку адміністративних послуг, які надаються через відділ “Центр надання адміністративних послуг”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відділ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авши його згідно додатку 1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відділені робочі місця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виклавши його 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 адміністративних послуг, які надаються через </w:t>
      </w:r>
      <w:bookmarkStart w:id="2" w:name="_Hlk197957279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пересувне віддалене робоче місце </w:t>
      </w:r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адміністратора відділу «Центр надання адміністративних послуг» Менської міської ради типу «Мобільний адміністратор» із застосуванням спеціального автоматизованого комплексу «Мобільний кейс»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 адміністративних послуг, які надаються через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ересувне віддалене робоче місце адміністратора відділу "Центр надання адміністративних послуг" Менської міської ради типу "Мобільний Центр надання адміністративних послуг"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Відділу документування та забезпечення діяльності апарату ради забезпечити оприлюднення даного рішення на офіційному веб-сайті Менської міської ради.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керуючого справами виконавчого комітету Менської міської ради Л.О.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СТАЛЬНИЧЕНКО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2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2"/>
    <w:basedOn w:val="901"/>
    <w:next w:val="901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01"/>
    <w:next w:val="901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01"/>
    <w:next w:val="901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01"/>
    <w:next w:val="901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01"/>
    <w:next w:val="901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01"/>
    <w:next w:val="901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01"/>
    <w:next w:val="901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01"/>
    <w:next w:val="901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03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0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03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0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03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0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03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0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03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01"/>
    <w:next w:val="901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03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01"/>
    <w:next w:val="901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03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01"/>
    <w:next w:val="901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03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1"/>
    <w:next w:val="901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03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03"/>
    <w:link w:val="927"/>
    <w:uiPriority w:val="99"/>
    <w:pPr>
      <w:pBdr/>
      <w:spacing/>
      <w:ind/>
    </w:pPr>
  </w:style>
  <w:style w:type="character" w:styleId="890">
    <w:name w:val="Footer Char"/>
    <w:basedOn w:val="903"/>
    <w:link w:val="929"/>
    <w:uiPriority w:val="99"/>
    <w:pPr>
      <w:pBdr/>
      <w:spacing/>
      <w:ind/>
    </w:pPr>
  </w:style>
  <w:style w:type="paragraph" w:styleId="891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0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0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0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/>
      <w:ind/>
    </w:pPr>
  </w:style>
  <w:style w:type="paragraph" w:styleId="902">
    <w:name w:val="Heading 1"/>
    <w:basedOn w:val="901"/>
    <w:link w:val="910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Normal (Web)"/>
    <w:basedOn w:val="9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7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908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909">
    <w:name w:val="Hyperlink"/>
    <w:basedOn w:val="903"/>
    <w:uiPriority w:val="99"/>
    <w:unhideWhenUsed/>
    <w:pPr>
      <w:pBdr/>
      <w:spacing/>
      <w:ind/>
    </w:pPr>
    <w:rPr>
      <w:color w:val="0000ff"/>
      <w:u w:val="single"/>
    </w:rPr>
  </w:style>
  <w:style w:type="character" w:styleId="910" w:customStyle="1">
    <w:name w:val="Заголовок 1 Знак"/>
    <w:basedOn w:val="903"/>
    <w:link w:val="90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1" w:customStyle="1">
    <w:name w:val="docdata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2">
    <w:name w:val="List Paragraph"/>
    <w:basedOn w:val="901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3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4" w:customStyle="1">
    <w:name w:val="Титулка"/>
    <w:basedOn w:val="90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5" w:customStyle="1">
    <w:name w:val="rvps1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6" w:customStyle="1">
    <w:name w:val="rvts64"/>
    <w:basedOn w:val="903"/>
    <w:pPr>
      <w:pBdr/>
      <w:spacing/>
      <w:ind/>
    </w:pPr>
  </w:style>
  <w:style w:type="paragraph" w:styleId="917" w:customStyle="1">
    <w:name w:val="rvps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 w:customStyle="1">
    <w:name w:val="rvts9"/>
    <w:basedOn w:val="903"/>
    <w:pPr>
      <w:pBdr/>
      <w:spacing/>
      <w:ind/>
    </w:pPr>
  </w:style>
  <w:style w:type="paragraph" w:styleId="919" w:customStyle="1">
    <w:name w:val="rvps6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23"/>
    <w:basedOn w:val="903"/>
    <w:pPr>
      <w:pBdr/>
      <w:spacing/>
      <w:ind/>
    </w:pPr>
  </w:style>
  <w:style w:type="paragraph" w:styleId="921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2" w:customStyle="1">
    <w:name w:val="rvps2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3" w:customStyle="1">
    <w:name w:val="rvts46"/>
    <w:basedOn w:val="903"/>
    <w:pPr>
      <w:pBdr/>
      <w:spacing/>
      <w:ind/>
    </w:pPr>
  </w:style>
  <w:style w:type="character" w:styleId="924" w:customStyle="1">
    <w:name w:val="rvts37"/>
    <w:basedOn w:val="903"/>
    <w:pPr>
      <w:pBdr/>
      <w:spacing/>
      <w:ind/>
    </w:pPr>
  </w:style>
  <w:style w:type="paragraph" w:styleId="925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26">
    <w:name w:val="Unresolved Mention"/>
    <w:basedOn w:val="90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7">
    <w:name w:val="Header"/>
    <w:basedOn w:val="901"/>
    <w:link w:val="92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8" w:customStyle="1">
    <w:name w:val="Верхній колонтитул Знак"/>
    <w:basedOn w:val="903"/>
    <w:link w:val="927"/>
    <w:uiPriority w:val="99"/>
    <w:pPr>
      <w:pBdr/>
      <w:spacing/>
      <w:ind/>
    </w:pPr>
  </w:style>
  <w:style w:type="paragraph" w:styleId="929">
    <w:name w:val="Footer"/>
    <w:basedOn w:val="901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Нижній колонтитул Знак"/>
    <w:basedOn w:val="903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8</cp:revision>
  <dcterms:created xsi:type="dcterms:W3CDTF">2025-05-12T07:54:00Z</dcterms:created>
  <dcterms:modified xsi:type="dcterms:W3CDTF">2025-05-21T12:06:32Z</dcterms:modified>
</cp:coreProperties>
</file>