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1"/>
        <w:tblW w:w="10641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9"/>
        <w:gridCol w:w="4969"/>
        <w:gridCol w:w="368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Перелік адміністративних послуг органів виконавчої влади, які надаються через 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І Реєстрація бізнесу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юридичну особу (крім громадського формування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та релігійної організації),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ліквідації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01179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00683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Підтвердження відомостей про кінцевого бенефіціарного власника юридичної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00058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рішення про виділ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00087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створення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фізичної особи - підприємця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припинення підприємницької діяльності фізичної особи - підприємця за її рішенням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- підприємців та громадських формувань"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2 Реєстрація нерухомості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зобов'язання на нерухоме майно, об'єкт незавершеного будівництва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речового права, похідного від права власності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обтяжень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Взяття на облік безхазяйного нерухомого майна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Заборона вчинення реєстраційних дій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5 Послуги Держгеокадастру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земельну ділянку, з відомостями про речові права їх обтяження, одержаними в порядку інформаційної взаємодії з державного реєстру речових прав на нерухоме майно та відомостями про ділянки надр, надані у користування відповідно до спеціальних дозволів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користування надр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янку з усіма відомостями, внесеними до Поземельної книги, крім відомостей про речові права на земельну ділянку, що виникли після 01 січня 2013р., та відомостями про ділянки надр, надані у користування відповідно до спеціальних дозволів на користування надр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Державного земельного кадастру не з вини органу, що здійснює його ведення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осіб, які отримали доступ до інформації про суб'єкта речового права у Державному земельному кадастрі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авного земельного кадастру у формі витягу з Державного земельного кадастру про обмеження у використанні земель, 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(території)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викопіювання з картографічної основи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Державного земельного кадастру, кадастрової карти (плану)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 наявність та розмір земельної частки (паю)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до Державного земельного кадастру відомостей (змін до них) про земельну ділянку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до Державного земельного кадастру відомостей (змін до них) про землі в межах територій адміністративно-територіальних одиниць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земельної ділянки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обмежень у використанні земель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витягу з технічної документації про нормативну грошову оцінку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оцінку земель"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02442 02451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меліоративної мережі  (змін до відомостей про неї)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02444 02450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складової частини меліоративної мережі(змін до відомостей про неї)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01993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6 Комплексна послуга «єМалятко»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restart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Комплексна послуга "єМалятко":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1) державна реєстрація народження та визначення походження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актів цивільного стану"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2) реєстрація місця проживання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3) призначення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4) призначення допомоги на дітей, які виховуються у багатодітних сім'ях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5) внесення відомостей про дитину до Реєстру пацієнтів, що ведеться у центральній базі даних електронної системи охорони здоров'я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державні фінансові гарантії медичного обслуговування населення"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6) реєстрація у Державному реєстрі фізичних осіб - платників податків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Податковий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7) видача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8) визначення належності новонародженої дитини до громадянства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громадянство України"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Єдиний державний демографічний реєстр та документи, що підтверджують громадянство України, посвідчують особу чи її спеціальний статус"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10) надання одноразової натуральної допомоги "пакунок малюка" за місцем проживання або перебування її отримувача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11) надання грошової компенсації вартості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4"/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/ матеріальної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особам з інвалідністю та дітям з 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(абілітацію) осіб з інвалідністю, дітей з інвалідністю, дітей віком до трьох років (включно), які 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ежать до групи ризику щодо отримання інвалідності, 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проходження 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інвалідністю та законних представників дітей з інвалідністю автомобілем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допоміжними засобами реабілітації осіб 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Виплата одноразової матеріальної допомоги особам, які постраждали від торгівлі людьми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протидію торгівлі людьми"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інваліднстю до реабілітаційн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рофесійної (професійно- технічної) освіти, закладах фахової передвищої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893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Компенсація за пошкоджене майно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Постанова КМУ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 21 квітня 2023 р. № 381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 затвердження Порядку над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батьківського піклування" ст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для послідуючого продажу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у користування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права користування чужою земельною ділянкою для забудови (суперфіцій)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дозволу надання дозволу на розроблення проекту землеустрою щодо відведення земельної ділянки у межах безоплатної приватизації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з бонітування грунтів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документації з нормативної грошової оцінки земельної ділянки у межах населених пунктів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розроблення проєкту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Припинення права оренди земельної ділянки або її частини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встановлення (відновлення) меж земельних ділянок в натурі (на місцевості)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встановлення (відновлення) меж земельних ділянок в натурі (на місцевості)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укладання договору оренди землі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2146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проекту землеустрою щодо відведення 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у користування водних об'єктів на умовах оренди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Поновлення договору оренди водних об'єктів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 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01886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Скасування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 адреси закінченому будівництвом об'єкту (після прийняття в експлуатацію)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об’єкту будівництва у зв’язку з коригуванням проектної документації, що впливає на визначення адреси об’єкта нового будівництва (зміна розташування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об’єкта, головного входу, зміна кількості об’єктів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витягу з містобудівної документації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38676107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11. Архітектура (ДІАМ)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3" w:tooltip="https://zakon.rada.gov.ua/laws/show/3038-17" w:history="1">
              <w:r>
                <w:rPr>
                  <w:rStyle w:val="882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bookmarkStart w:id="4" w:name="w1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"w1_2"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82"/>
                <w:rFonts w:ascii="Times New Roman" w:hAnsi="Times New Roman" w:cs="Times New Roman"/>
                <w:sz w:val="24"/>
                <w:szCs w:val="24"/>
              </w:rPr>
              <w:t xml:space="preserve">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bookmarkStart w:id="5" w:name="w2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"w2_2"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82"/>
                <w:rFonts w:ascii="Times New Roman" w:hAnsi="Times New Roman" w:cs="Times New Roman"/>
                <w:sz w:val="24"/>
                <w:szCs w:val="24"/>
              </w:rPr>
              <w:t xml:space="preserve">містобудівної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ності інформації, зазначеної у повідомленні про зміну даних у  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  зазначеної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повідомленні 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4" w:tooltip="https://zakon.rada.gov.ua/laws/show/3038-17" w:history="1">
              <w:r>
                <w:rPr>
                  <w:rStyle w:val="882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5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82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6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82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експлуатації, будівництво якого здійснено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7" w:tooltip="https://zakon.rada.gov.ua/laws/show/3038-17" w:history="1">
              <w:r>
                <w:rPr>
                  <w:rStyle w:val="882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8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82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9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82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 щодо об’єктів, що за класом наслідків (відповідальності) належать до об’єктів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Постанова Ради Міністрів Української РСР від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13. Держпродспоживслужба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експлуатаційного дозволу для провадження діяльності: на потужностях (об’єктах) з переробки неїстівних продуктів тваринного походження, на потужностях (об’єктах) з виробництва, змішування та приготування кормових добавок, преміксів і кормів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ветеринарну медицину», ст. 50-53;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Отримання експлуатаційного дозволу оператором ринку, що провадить діяльність пов’язану з виробництвом та/або зберіганням харчових продуктів тваринного походження, та для агропродовольчих ринків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безпечності та якості харчових продуктів», ст. 23,24;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щодо припинення діяльності потужності оператора ринку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01611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Затвердження експортної потужності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540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14. Держпраця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виконання робіт підвищеної небезпеки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експлуатацію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застосування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Продовження строку дії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00728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Анулювання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зміни відомостей у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придбання вибухових матеріалів промислового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зберігання вибухових матеріалів промислового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гірничого відводу для розробки родовищ корисних копалин місцевого 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надра»;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00897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гірничого відводу для розробки родовищ корисних копалин місцевого 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надра»;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6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15. Послуги місцевого значення</w:t>
            </w:r>
            <w:bookmarkEnd w:id="6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погосподарської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погосподарського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7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16.  Реєстрація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створення громадського об’єднання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громадські об'єднання»;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виділ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00335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громадського об'єднання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внесення змін до відомостей про відокремлений підрозділ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00093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відокремленого підрозділу громадського об'єднання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створення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політичні партії в Україні»;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реєстрації припинення структурного утворення політичної партії в результаті його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Державної реєстрації припинення структурного утворення політичної партії в результаті його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структурного утворення політичної партії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професійні спілки, їх права та гарантії діяльності»;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включення відомо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00494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створення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професійних творчих працівників та творчі спілки»;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державну реєстрацію юридичних осіб, фізичних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– підприємців та громадських формувань»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рішення про відміну рішення про припинення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ліквідації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00579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реорганізації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8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соцзахисту міської ради</w:t>
            </w:r>
            <w:bookmarkEnd w:id="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акта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віськовослужбовцям,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акта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нового посвідчення учасника бойових дій, особи з інвалідністю 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01735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про проведення безоплатного капітального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власних житлових будинків і квартир осіб, що мають право на таку пільгу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громадським об’єднанням ветеранів війни безплатно приміщень для здійснення їх статутних завдань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Вклеювання бланка-вкладки до посвідчення учасника бойових дій,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разової грошової виплати до Дня Незалежності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024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 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19 Адміністративні послуги ПФУ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caps/>
                <w:sz w:val="24"/>
                <w:szCs w:val="24"/>
              </w:rPr>
              <w:t xml:space="preserve"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страхової виплати медичному працівнику у разі встановлення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групи інвалідності та ступеня втрати працездатності протягом одного року у зв’язку з інфікуванням гострою респіраторною хворобою COVID-19, спричиненою коронавірусом SARS-COV-2, під час 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No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хвороб”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страхових виплат членам сім’ї, батькам, утриманцям померлого медичного працівника у разі його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смерті, що настала внаслідок його інфікування гострою респіраторною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хворобою COVID-19, спричиненою коронавірусом SARS-CoV-2, під час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No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хвороб”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Менської міської ради</w:t>
        <w:tab/>
        <w:t xml:space="preserve">Валерій РАЧКОВ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7"/>
      <w:pBdr/>
      <w:spacing w:after="0" w:afterAutospacing="0" w:before="0" w:beforeAutospacing="0"/>
      <w:ind w:left="5670"/>
      <w:jc w:val="right"/>
      <w:rPr>
        <w:i/>
        <w:iCs/>
        <w:sz w:val="20"/>
        <w:szCs w:val="20"/>
      </w:rPr>
    </w:pPr>
    <w:r>
      <w:rPr>
        <w:sz w:val="20"/>
        <w:szCs w:val="20"/>
      </w:rPr>
    </w:r>
    <w:bookmarkStart w:id="9" w:name="_Hlk71637167"/>
    <w:r>
      <w:rPr>
        <w:i/>
        <w:iCs/>
        <w:color w:val="000000"/>
        <w:sz w:val="22"/>
        <w:szCs w:val="22"/>
      </w:rPr>
      <w:t xml:space="preserve">Продовження додатка </w:t>
    </w:r>
    <w:r>
      <w:rPr>
        <w:i/>
        <w:iCs/>
        <w:color w:val="000000"/>
        <w:sz w:val="22"/>
        <w:szCs w:val="22"/>
      </w:rPr>
      <w:t xml:space="preserve">4</w:t>
    </w:r>
    <w:bookmarkEnd w:id="9"/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889"/>
      <w:pBdr/>
      <w:spacing/>
      <w:ind/>
      <w:jc w:val="right"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 w:after="0" w:afterAutospacing="0" w:before="0" w:beforeAutospacing="0"/>
      <w:ind w:left="5670"/>
      <w:jc w:val="both"/>
      <w:rPr>
        <w:i/>
        <w:iCs/>
      </w:rPr>
    </w:pPr>
    <w:r>
      <w:rPr>
        <w:i/>
        <w:iCs/>
        <w:color w:val="000000"/>
        <w:sz w:val="28"/>
        <w:szCs w:val="28"/>
      </w:rPr>
      <w:t xml:space="preserve">Додаток </w:t>
    </w:r>
    <w:r>
      <w:rPr>
        <w:i/>
        <w:iCs/>
        <w:color w:val="000000"/>
        <w:sz w:val="28"/>
        <w:szCs w:val="28"/>
      </w:rPr>
      <w:t xml:space="preserve">4</w:t>
    </w:r>
    <w:r>
      <w:rPr>
        <w:i/>
        <w:iCs/>
        <w:color w:val="000000"/>
        <w:sz w:val="28"/>
        <w:szCs w:val="28"/>
      </w:rPr>
      <w:t xml:space="preserve"> до рішення 61 сесії Менської міської ради 8 скликання від  20.05.2025 № 267</w:t>
    </w:r>
    <w:r>
      <w:rPr>
        <w:i/>
        <w:iCs/>
      </w:rPr>
    </w:r>
    <w:r>
      <w:rPr>
        <w:i/>
        <w:iCs/>
      </w:rPr>
    </w:r>
  </w:p>
  <w:p>
    <w:pPr>
      <w:pStyle w:val="889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 Light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76"/>
    <w:next w:val="876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2"/>
    <w:basedOn w:val="876"/>
    <w:next w:val="876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76"/>
    <w:next w:val="876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76"/>
    <w:next w:val="876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76"/>
    <w:next w:val="876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76"/>
    <w:next w:val="876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76"/>
    <w:next w:val="876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76"/>
    <w:next w:val="876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76"/>
    <w:next w:val="876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1 Char"/>
    <w:basedOn w:val="87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77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77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7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77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77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77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77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77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76"/>
    <w:next w:val="876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77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76"/>
    <w:next w:val="876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77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76"/>
    <w:next w:val="876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77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76"/>
    <w:next w:val="876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77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76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863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>
    <w:name w:val="Header Char"/>
    <w:basedOn w:val="877"/>
    <w:link w:val="889"/>
    <w:uiPriority w:val="99"/>
    <w:pPr>
      <w:pBdr/>
      <w:spacing/>
      <w:ind/>
    </w:pPr>
  </w:style>
  <w:style w:type="character" w:styleId="866">
    <w:name w:val="Footer Char"/>
    <w:basedOn w:val="877"/>
    <w:link w:val="891"/>
    <w:uiPriority w:val="99"/>
    <w:pPr>
      <w:pBdr/>
      <w:spacing/>
      <w:ind/>
    </w:pPr>
  </w:style>
  <w:style w:type="paragraph" w:styleId="867">
    <w:name w:val="Caption"/>
    <w:basedOn w:val="876"/>
    <w:next w:val="8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76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77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76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77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Heading"/>
    <w:uiPriority w:val="39"/>
    <w:unhideWhenUsed/>
    <w:pPr>
      <w:pBdr/>
      <w:spacing/>
      <w:ind/>
    </w:pPr>
  </w:style>
  <w:style w:type="paragraph" w:styleId="875">
    <w:name w:val="table of figures"/>
    <w:basedOn w:val="876"/>
    <w:next w:val="876"/>
    <w:uiPriority w:val="99"/>
    <w:unhideWhenUsed/>
    <w:pPr>
      <w:pBdr/>
      <w:spacing w:after="0" w:afterAutospacing="0"/>
      <w:ind/>
    </w:pPr>
  </w:style>
  <w:style w:type="paragraph" w:styleId="876" w:default="1">
    <w:name w:val="Normal"/>
    <w:qFormat/>
    <w:pPr>
      <w:pBdr/>
      <w:spacing/>
      <w:ind/>
    </w:p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9" w:default="1">
    <w:name w:val="No List"/>
    <w:uiPriority w:val="99"/>
    <w:semiHidden/>
    <w:unhideWhenUsed/>
    <w:pPr>
      <w:pBdr/>
      <w:spacing/>
      <w:ind/>
    </w:pPr>
  </w:style>
  <w:style w:type="paragraph" w:styleId="880">
    <w:name w:val="List Paragraph"/>
    <w:basedOn w:val="876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81">
    <w:name w:val="Table Grid"/>
    <w:basedOn w:val="878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 w:customStyle="1">
    <w:name w:val="rvts23"/>
    <w:basedOn w:val="877"/>
    <w:pPr>
      <w:pBdr/>
      <w:spacing/>
      <w:ind/>
    </w:pPr>
    <w:rPr>
      <w:rFonts w:cs="Times New Roman"/>
    </w:rPr>
  </w:style>
  <w:style w:type="character" w:styleId="884" w:customStyle="1">
    <w:name w:val="rvts0"/>
    <w:basedOn w:val="877"/>
    <w:pPr>
      <w:pBdr/>
      <w:spacing/>
      <w:ind/>
    </w:pPr>
  </w:style>
  <w:style w:type="character" w:styleId="885">
    <w:name w:val="Strong"/>
    <w:qFormat/>
    <w:pPr>
      <w:pBdr/>
      <w:spacing/>
      <w:ind/>
    </w:pPr>
    <w:rPr>
      <w:rFonts w:cs="Times New Roman"/>
      <w:b/>
      <w:bCs/>
    </w:rPr>
  </w:style>
  <w:style w:type="character" w:styleId="886" w:customStyle="1">
    <w:name w:val="dat"/>
    <w:pPr>
      <w:pBdr/>
      <w:spacing/>
      <w:ind/>
    </w:pPr>
  </w:style>
  <w:style w:type="paragraph" w:styleId="887" w:customStyle="1">
    <w:name w:val="docdata"/>
    <w:basedOn w:val="87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88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Header"/>
    <w:basedOn w:val="876"/>
    <w:link w:val="89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0" w:customStyle="1">
    <w:name w:val="Верхній колонтитул Знак"/>
    <w:basedOn w:val="877"/>
    <w:link w:val="889"/>
    <w:uiPriority w:val="99"/>
    <w:pPr>
      <w:pBdr/>
      <w:spacing/>
      <w:ind/>
    </w:pPr>
  </w:style>
  <w:style w:type="paragraph" w:styleId="891">
    <w:name w:val="Footer"/>
    <w:basedOn w:val="876"/>
    <w:link w:val="89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2" w:customStyle="1">
    <w:name w:val="Нижній колонтитул Знак"/>
    <w:basedOn w:val="877"/>
    <w:link w:val="891"/>
    <w:uiPriority w:val="99"/>
    <w:pPr>
      <w:pBdr/>
      <w:spacing/>
      <w:ind/>
    </w:pPr>
  </w:style>
  <w:style w:type="paragraph" w:styleId="893">
    <w:name w:val="Normal (Web)"/>
    <w:basedOn w:val="87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94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Relationship Id="rId13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6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7" Type="http://schemas.openxmlformats.org/officeDocument/2006/relationships/hyperlink" Target="https://zakon.rada.gov.ua/laws/show/3038-17" TargetMode="External"/><Relationship Id="rId18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9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5</cp:revision>
  <dcterms:created xsi:type="dcterms:W3CDTF">2025-05-12T12:41:00Z</dcterms:created>
  <dcterms:modified xsi:type="dcterms:W3CDTF">2025-05-21T12:04:56Z</dcterms:modified>
</cp:coreProperties>
</file>