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8"/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78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8"/>
        <w:pBdr/>
        <w:spacing/>
        <w:ind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978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 перша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  <w:szCs w:val="28"/>
          <w:lang w:val="ru-RU"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79"/>
        <w:pBdr/>
        <w:tabs>
          <w:tab w:val="left" w:leader="none" w:pos="4395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9"/>
        <w:pBdr/>
        <w:tabs>
          <w:tab w:val="left" w:leader="none" w:pos="4395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травня 2025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№318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979"/>
        <w:pBdr/>
        <w:tabs>
          <w:tab w:val="left" w:leader="none" w:pos="4535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80"/>
        <w:pBdr/>
        <w:spacing w:after="0" w:afterAutospacing="0" w:before="0" w:beforeAutospacing="0"/>
        <w:ind w:right="164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дострокове припинення права оренди на </w:t>
      </w:r>
      <w:r>
        <w:rPr>
          <w:b/>
          <w:bCs/>
          <w:color w:val="000000"/>
          <w:sz w:val="28"/>
          <w:szCs w:val="28"/>
          <w:lang w:val="uk-UA"/>
        </w:rPr>
        <w:t xml:space="preserve">невитребувані</w:t>
      </w:r>
      <w:r>
        <w:rPr>
          <w:b/>
          <w:bCs/>
          <w:color w:val="000000"/>
          <w:sz w:val="28"/>
          <w:szCs w:val="28"/>
          <w:lang w:val="uk-UA"/>
        </w:rPr>
        <w:t xml:space="preserve"> земельні ділянки за межами с. </w:t>
      </w:r>
      <w:r>
        <w:rPr>
          <w:b/>
          <w:bCs/>
          <w:color w:val="000000"/>
          <w:sz w:val="28"/>
          <w:szCs w:val="28"/>
          <w:lang w:val="uk-UA"/>
        </w:rPr>
        <w:t xml:space="preserve">Блистова</w:t>
      </w:r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1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 xml:space="preserve">Лавського</w:t>
      </w:r>
      <w:r>
        <w:rPr>
          <w:color w:val="000000"/>
          <w:sz w:val="28"/>
          <w:szCs w:val="28"/>
          <w:lang w:val="uk-UA"/>
        </w:rPr>
        <w:t xml:space="preserve"> Володимира Миколайович</w:t>
      </w:r>
      <w:r>
        <w:rPr>
          <w:color w:val="000000"/>
          <w:sz w:val="28"/>
          <w:szCs w:val="28"/>
          <w:lang w:val="uk-UA"/>
        </w:rPr>
        <w:t xml:space="preserve">а щодо </w:t>
      </w:r>
      <w:r>
        <w:rPr>
          <w:color w:val="000000"/>
          <w:sz w:val="28"/>
          <w:szCs w:val="28"/>
          <w:lang w:val="uk-UA"/>
        </w:rPr>
        <w:t xml:space="preserve">припинення права </w:t>
      </w:r>
      <w:r>
        <w:rPr>
          <w:color w:val="000000"/>
          <w:sz w:val="28"/>
          <w:szCs w:val="28"/>
          <w:lang w:val="uk-UA"/>
        </w:rPr>
        <w:t xml:space="preserve">тимчасового </w:t>
      </w:r>
      <w:r>
        <w:rPr>
          <w:color w:val="000000"/>
          <w:sz w:val="28"/>
          <w:szCs w:val="28"/>
          <w:lang w:val="uk-UA"/>
        </w:rPr>
        <w:t xml:space="preserve">користування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невитребуваними</w:t>
      </w:r>
      <w:r>
        <w:rPr>
          <w:color w:val="000000"/>
          <w:sz w:val="28"/>
          <w:szCs w:val="28"/>
          <w:lang w:val="uk-UA"/>
        </w:rPr>
        <w:t xml:space="preserve"> земельними ділянками на умовах оренди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агальною площею </w:t>
      </w:r>
      <w:r>
        <w:rPr>
          <w:color w:val="000000"/>
          <w:sz w:val="28"/>
          <w:szCs w:val="28"/>
          <w:lang w:val="uk-UA"/>
        </w:rPr>
        <w:t xml:space="preserve">9,6600</w:t>
      </w:r>
      <w:r>
        <w:rPr>
          <w:color w:val="000000"/>
          <w:sz w:val="28"/>
          <w:szCs w:val="28"/>
          <w:lang w:val="uk-UA"/>
        </w:rPr>
        <w:t xml:space="preserve"> га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</w:t>
      </w:r>
      <w:r>
        <w:rPr>
          <w:color w:val="000000"/>
          <w:sz w:val="28"/>
          <w:szCs w:val="28"/>
          <w:lang w:val="uk-UA"/>
        </w:rPr>
        <w:t xml:space="preserve">сіножаті</w:t>
      </w:r>
      <w:r>
        <w:rPr>
          <w:color w:val="000000"/>
          <w:sz w:val="28"/>
          <w:szCs w:val="28"/>
          <w:lang w:val="uk-UA"/>
        </w:rPr>
        <w:t xml:space="preserve">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>
        <w:rPr>
          <w:color w:val="000000"/>
          <w:sz w:val="28"/>
          <w:szCs w:val="28"/>
          <w:lang w:val="uk-UA"/>
        </w:rPr>
        <w:t xml:space="preserve">на території Менської міської територіальної громади за межами </w:t>
      </w:r>
      <w:r>
        <w:rPr>
          <w:color w:val="000000"/>
          <w:sz w:val="28"/>
          <w:szCs w:val="28"/>
          <w:lang w:val="uk-UA"/>
        </w:rPr>
        <w:t xml:space="preserve">населеного пункту 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 xml:space="preserve">Блистова</w:t>
      </w:r>
      <w:r>
        <w:rPr>
          <w:color w:val="000000"/>
          <w:sz w:val="28"/>
          <w:szCs w:val="28"/>
          <w:lang w:val="uk-UA"/>
        </w:rPr>
        <w:t xml:space="preserve"> згідно договору оренди невитребуваних земельних часток (паїв) від 30.08.</w:t>
      </w:r>
      <w:r>
        <w:rPr>
          <w:color w:val="000000"/>
          <w:sz w:val="28"/>
          <w:szCs w:val="28"/>
          <w:lang w:val="uk-UA"/>
        </w:rPr>
        <w:t xml:space="preserve">2017 року, зареєстрованого</w:t>
      </w:r>
      <w:r>
        <w:rPr>
          <w:color w:val="000000"/>
          <w:sz w:val="28"/>
          <w:szCs w:val="28"/>
          <w:lang w:val="uk-UA"/>
        </w:rPr>
        <w:t xml:space="preserve"> у книзі записів реєстрації договорів оренди земельних часток (паїв) від 02.10.2017 року за №17,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подані документи,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Законом України «Про оренду землі»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п. 34 ч. 1 ст. 26 Закону України «Про місцеве самоврядування в Україні» Менська міська рада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spacing w:after="0" w:afterAutospacing="0" w:before="0" w:beforeAutospacing="0"/>
        <w:ind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ВИРІШИЛА:</w:t>
      </w:r>
      <w:r>
        <w:rPr>
          <w:lang w:val="uk-UA"/>
        </w:rPr>
      </w:r>
      <w:r>
        <w:rPr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Достроково </w:t>
      </w:r>
      <w:r>
        <w:rPr>
          <w:color w:val="000000"/>
          <w:sz w:val="28"/>
          <w:szCs w:val="28"/>
          <w:lang w:val="uk-UA"/>
        </w:rPr>
        <w:t xml:space="preserve">припинити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Лавському</w:t>
      </w:r>
      <w:r>
        <w:rPr>
          <w:color w:val="000000"/>
          <w:sz w:val="28"/>
          <w:szCs w:val="28"/>
          <w:lang w:val="uk-UA"/>
        </w:rPr>
        <w:t xml:space="preserve"> Володимиру Миколайовичу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право тимчасового користування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невитребуваними</w:t>
      </w:r>
      <w:r>
        <w:rPr>
          <w:color w:val="000000"/>
          <w:sz w:val="28"/>
          <w:szCs w:val="28"/>
          <w:lang w:val="uk-UA"/>
        </w:rPr>
        <w:t xml:space="preserve"> земельними ділянками загальною площею 9,6600 га, сіножаті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(перелік додається) для ведення товарного сільськогосподарського виробництва</w:t>
      </w:r>
      <w:r>
        <w:rPr>
          <w:color w:val="000000"/>
          <w:sz w:val="28"/>
          <w:szCs w:val="28"/>
          <w:lang w:val="uk-UA"/>
        </w:rPr>
        <w:t xml:space="preserve">, які розташовані</w:t>
      </w:r>
      <w:r>
        <w:rPr>
          <w:color w:val="000000"/>
          <w:sz w:val="28"/>
          <w:szCs w:val="28"/>
          <w:lang w:val="uk-UA"/>
        </w:rPr>
        <w:t xml:space="preserve"> на території Менської міської територіальної громади за межами</w:t>
      </w:r>
      <w:r>
        <w:rPr>
          <w:color w:val="000000"/>
          <w:sz w:val="28"/>
          <w:szCs w:val="28"/>
          <w:lang w:val="uk-UA"/>
        </w:rPr>
        <w:t xml:space="preserve"> населеного пункту с. </w:t>
      </w:r>
      <w:r>
        <w:rPr>
          <w:color w:val="000000"/>
          <w:sz w:val="28"/>
          <w:szCs w:val="28"/>
          <w:lang w:val="uk-UA"/>
        </w:rPr>
        <w:t xml:space="preserve">Блистова</w:t>
      </w:r>
      <w:r>
        <w:rPr>
          <w:color w:val="000000"/>
          <w:sz w:val="28"/>
          <w:szCs w:val="28"/>
          <w:lang w:val="uk-UA"/>
        </w:rPr>
        <w:t xml:space="preserve">, за згодою сторін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Розірвати договір</w:t>
      </w:r>
      <w:r>
        <w:rPr>
          <w:color w:val="000000"/>
          <w:sz w:val="28"/>
          <w:szCs w:val="28"/>
          <w:lang w:val="uk-UA"/>
        </w:rPr>
        <w:t xml:space="preserve"> оренди </w:t>
      </w:r>
      <w:r>
        <w:rPr>
          <w:color w:val="000000"/>
          <w:sz w:val="28"/>
          <w:szCs w:val="28"/>
          <w:lang w:val="uk-UA"/>
        </w:rPr>
        <w:t xml:space="preserve">невитребуваних</w:t>
      </w:r>
      <w:r>
        <w:rPr>
          <w:color w:val="000000"/>
          <w:sz w:val="28"/>
          <w:szCs w:val="28"/>
          <w:lang w:val="uk-UA"/>
        </w:rPr>
        <w:t xml:space="preserve"> земельних часток (паїв) від 30.08.2017, зареєстрованого у книзі записів реєстрації договорів оренди земельних часток (паїв) від 02.10.2017 за №17</w:t>
      </w:r>
      <w:r>
        <w:rPr>
          <w:color w:val="000000"/>
          <w:sz w:val="28"/>
          <w:szCs w:val="28"/>
          <w:lang w:val="uk-UA"/>
        </w:rPr>
        <w:t xml:space="preserve">, шляхом укладання </w:t>
      </w:r>
      <w:r>
        <w:rPr>
          <w:color w:val="000000"/>
          <w:sz w:val="28"/>
          <w:szCs w:val="28"/>
          <w:lang w:val="uk-UA"/>
        </w:rPr>
        <w:t xml:space="preserve">додаткової</w:t>
      </w:r>
      <w:r>
        <w:rPr>
          <w:color w:val="000000"/>
          <w:sz w:val="28"/>
          <w:szCs w:val="28"/>
          <w:lang w:val="uk-UA"/>
        </w:rPr>
        <w:t xml:space="preserve"> угоди до цього договору.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Лавському</w:t>
      </w:r>
      <w:r>
        <w:rPr>
          <w:color w:val="000000"/>
          <w:sz w:val="28"/>
          <w:szCs w:val="28"/>
          <w:lang w:val="uk-UA"/>
        </w:rPr>
        <w:t xml:space="preserve"> Володимиру Миколайовичу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 xml:space="preserve">державну </w:t>
      </w:r>
      <w:r>
        <w:rPr>
          <w:sz w:val="28"/>
          <w:szCs w:val="28"/>
          <w:lang w:val="uk-UA"/>
        </w:rPr>
        <w:t xml:space="preserve">реєстрацію</w:t>
      </w:r>
      <w:r>
        <w:rPr>
          <w:sz w:val="28"/>
          <w:szCs w:val="28"/>
          <w:lang w:val="uk-UA"/>
        </w:rPr>
        <w:t xml:space="preserve"> додаткової угоди про розірвання договору </w:t>
      </w:r>
      <w:r>
        <w:rPr>
          <w:color w:val="000000"/>
          <w:sz w:val="28"/>
          <w:szCs w:val="28"/>
          <w:lang w:val="uk-UA"/>
        </w:rPr>
        <w:t xml:space="preserve">оренди </w:t>
      </w:r>
      <w:r>
        <w:rPr>
          <w:color w:val="000000"/>
          <w:sz w:val="28"/>
          <w:szCs w:val="28"/>
          <w:lang w:val="uk-UA"/>
        </w:rPr>
        <w:t xml:space="preserve">невитребуваних</w:t>
      </w:r>
      <w:r>
        <w:rPr>
          <w:color w:val="000000"/>
          <w:sz w:val="28"/>
          <w:szCs w:val="28"/>
          <w:lang w:val="uk-UA"/>
        </w:rPr>
        <w:t xml:space="preserve"> земельних часток (паїв) від 30.08.2017, зареєстрованого у книзі записів реєстрації договорів оренди земельних часток (паїв) від 02.10.2017 за №17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вимог чинного законодавства.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16"/>
        <w:numPr>
          <w:ilvl w:val="0"/>
          <w:numId w:val="17"/>
        </w:numPr>
        <w:pBdr/>
        <w:tabs>
          <w:tab w:val="num" w:leader="none" w:pos="426"/>
          <w:tab w:val="clear" w:leader="none" w:pos="720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набуває чинності з дня доведення його до відома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ромадя</w:t>
      </w:r>
      <w:r>
        <w:rPr>
          <w:color w:val="000000"/>
          <w:sz w:val="28"/>
          <w:szCs w:val="28"/>
        </w:rPr>
        <w:t xml:space="preserve">нина </w:t>
      </w:r>
      <w:r>
        <w:rPr>
          <w:color w:val="000000"/>
          <w:sz w:val="28"/>
          <w:szCs w:val="28"/>
        </w:rPr>
        <w:t xml:space="preserve">Лавського</w:t>
      </w:r>
      <w:r>
        <w:rPr>
          <w:color w:val="000000"/>
          <w:sz w:val="28"/>
          <w:szCs w:val="28"/>
        </w:rPr>
        <w:t xml:space="preserve"> Володимира Миколайовича </w:t>
      </w:r>
      <w:r>
        <w:rPr>
          <w:sz w:val="28"/>
          <w:szCs w:val="28"/>
        </w:rPr>
        <w:t xml:space="preserve">в установленому законом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numPr>
          <w:ilvl w:val="0"/>
          <w:numId w:val="17"/>
        </w:numPr>
        <w:pBdr/>
        <w:tabs>
          <w:tab w:val="left" w:leader="none" w:pos="284"/>
          <w:tab w:val="clear" w:leader="none" w:pos="720"/>
          <w:tab w:val="left" w:leader="none" w:pos="1134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</w:t>
      </w:r>
      <w:r>
        <w:rPr>
          <w:color w:val="000000"/>
          <w:sz w:val="28"/>
          <w:szCs w:val="28"/>
          <w:lang w:val="uk-UA"/>
        </w:rPr>
        <w:t xml:space="preserve">та на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tabs>
          <w:tab w:val="left" w:leader="none" w:pos="6521"/>
          <w:tab w:val="left" w:leader="none" w:pos="7371"/>
          <w:tab w:val="left" w:leader="none" w:pos="7797"/>
        </w:tabs>
        <w:spacing/>
        <w:ind/>
        <w:jc w:val="both"/>
        <w:rPr>
          <w:rFonts w:ascii="Times New Roman" w:hAnsi="Times New Roman"/>
          <w:sz w:val="28"/>
          <w:szCs w:val="28"/>
          <w:highlight w:val="non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Юрій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  <w:lang w:eastAsia="uk-UA"/>
        </w:rPr>
      </w:r>
    </w:p>
    <w:tbl>
      <w:tblPr>
        <w:tblStyle w:val="83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92"/>
        <w:gridCol w:w="1245"/>
        <w:gridCol w:w="3241"/>
        <w:gridCol w:w="1984"/>
        <w:gridCol w:w="1417"/>
      </w:tblGrid>
      <w:tr>
        <w:trPr>
          <w:trHeight w:val="15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Додаток  до рішення 61 сесії Менської міської ради 8 скликання </w:t>
              <w:br/>
              <w:t xml:space="preserve">від 20. 05.2025 року №318</w:t>
              <w:br/>
            </w:r>
            <w:r/>
            <w:r/>
          </w:p>
        </w:tc>
      </w:tr>
      <w:tr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78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Перелік невитребуваних земельних ділянок (паїв) на території </w:t>
              <w:br/>
              <w:t xml:space="preserve">Менської міської територіальної громади за межами с. Блистова</w:t>
            </w:r>
            <w:r/>
            <w:r/>
            <w:r/>
            <w:r/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</w:rPr>
            </w:r>
          </w:p>
        </w:tc>
      </w:tr>
      <w:tr>
        <w:trPr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Номер паю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Кадастровий номер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 земельної ділянки (паю),га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Вид угідь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7423081000:03:000:1426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7423081000:03:000:1427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1931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7423081000:03:000:1429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1932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1933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7423081000:03:000:1431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1,3800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3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ВСЬОГО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9,6600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сіножать</w:t>
            </w: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Начальник відділу земельних відносин, </w:t>
            </w:r>
            <w:r/>
            <w:r/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</w:rPr>
            </w:r>
            <w:r/>
            <w:r/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агропромислового комплексу та екології </w:t>
            </w:r>
            <w:r/>
            <w:r/>
            <w:r/>
          </w:p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Оксана СКИРТА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</w:tbl>
    <w:p>
      <w:pPr>
        <w:pBdr/>
        <w:shd w:val="nil" w:color="000000"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704090202050204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779"/>
    <w:next w:val="779"/>
    <w:link w:val="7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0">
    <w:name w:val="Heading 2"/>
    <w:basedOn w:val="779"/>
    <w:next w:val="779"/>
    <w:link w:val="7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1">
    <w:name w:val="Heading 3"/>
    <w:basedOn w:val="779"/>
    <w:next w:val="779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2">
    <w:name w:val="Heading 4"/>
    <w:basedOn w:val="779"/>
    <w:next w:val="779"/>
    <w:link w:val="7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3">
    <w:name w:val="Heading 5"/>
    <w:basedOn w:val="779"/>
    <w:next w:val="779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4">
    <w:name w:val="Heading 6"/>
    <w:basedOn w:val="779"/>
    <w:next w:val="779"/>
    <w:link w:val="7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79"/>
    <w:next w:val="779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79"/>
    <w:next w:val="779"/>
    <w:link w:val="7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79"/>
    <w:next w:val="779"/>
    <w:link w:val="8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72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73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4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5">
    <w:name w:val="Header"/>
    <w:basedOn w:val="779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6">
    <w:name w:val="Footer"/>
    <w:basedOn w:val="779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8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9" w:default="1">
    <w:name w:val="Normal"/>
    <w:qFormat/>
    <w:pPr>
      <w:pBdr/>
      <w:spacing/>
      <w:ind/>
    </w:p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 w:customStyle="1">
    <w:name w:val="Заголовок 11"/>
    <w:link w:val="8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4" w:customStyle="1">
    <w:name w:val="Заголовок 21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5" w:customStyle="1">
    <w:name w:val="Заголовок 3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 w:customStyle="1">
    <w:name w:val="Заголовок 4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 w:customStyle="1">
    <w:name w:val="Заголовок 5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 w:customStyle="1">
    <w:name w:val="Заголовок 6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 w:customStyle="1">
    <w:name w:val="Заголовок 7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 w:customStyle="1">
    <w:name w:val="Заголовок 8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 w:customStyle="1">
    <w:name w:val="Заголовок 9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Heading 1 Char"/>
    <w:basedOn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pPr>
      <w:pBdr/>
      <w:spacing/>
      <w:ind/>
    </w:pPr>
    <w:rPr>
      <w:i/>
    </w:rPr>
  </w:style>
  <w:style w:type="character" w:styleId="804" w:customStyle="1">
    <w:name w:val="Intense Quote Char"/>
    <w:uiPriority w:val="30"/>
    <w:pPr>
      <w:pBdr/>
      <w:spacing/>
      <w:ind/>
    </w:pPr>
    <w:rPr>
      <w:i/>
    </w:rPr>
  </w:style>
  <w:style w:type="character" w:styleId="805" w:customStyle="1">
    <w:name w:val="Footnote Text Char"/>
    <w:uiPriority w:val="99"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Заголовок 1 Знак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Заголовок 3 Знак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qFormat/>
    <w:pPr>
      <w:pBdr/>
      <w:spacing/>
      <w:ind w:left="720"/>
      <w:contextualSpacing w:val="true"/>
    </w:pPr>
  </w:style>
  <w:style w:type="paragraph" w:styleId="817">
    <w:name w:val="No Spacing"/>
    <w:uiPriority w:val="1"/>
    <w:qFormat/>
    <w:pPr>
      <w:pBdr/>
      <w:spacing/>
      <w:ind/>
    </w:pPr>
  </w:style>
  <w:style w:type="paragraph" w:styleId="818">
    <w:name w:val="Title"/>
    <w:link w:val="8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9" w:customStyle="1">
    <w:name w:val="Название Знак"/>
    <w:link w:val="818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link w:val="8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1" w:customStyle="1">
    <w:name w:val="Подзаголовок Знак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Цитата 2 Знак"/>
    <w:link w:val="822"/>
    <w:uiPriority w:val="29"/>
    <w:pPr>
      <w:pBdr/>
      <w:spacing/>
      <w:ind/>
    </w:pPr>
    <w:rPr>
      <w:i/>
    </w:rPr>
  </w:style>
  <w:style w:type="paragraph" w:styleId="824">
    <w:name w:val="Intense Quote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Выделенная цитата Знак"/>
    <w:link w:val="824"/>
    <w:uiPriority w:val="30"/>
    <w:pPr>
      <w:pBdr/>
      <w:spacing/>
      <w:ind/>
    </w:pPr>
    <w:rPr>
      <w:i/>
    </w:rPr>
  </w:style>
  <w:style w:type="paragraph" w:styleId="826" w:customStyle="1">
    <w:name w:val="Верхний колонтитул1"/>
    <w:basedOn w:val="779"/>
    <w:link w:val="97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7" w:customStyle="1">
    <w:name w:val="Header Char"/>
    <w:uiPriority w:val="99"/>
    <w:pPr>
      <w:pBdr/>
      <w:spacing/>
      <w:ind/>
    </w:pPr>
  </w:style>
  <w:style w:type="paragraph" w:styleId="828" w:customStyle="1">
    <w:name w:val="Нижний колонтитул1"/>
    <w:basedOn w:val="779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9" w:customStyle="1">
    <w:name w:val="Footer Char"/>
    <w:uiPriority w:val="99"/>
    <w:pPr>
      <w:pBdr/>
      <w:spacing/>
      <w:ind/>
    </w:pPr>
  </w:style>
  <w:style w:type="paragraph" w:styleId="83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yperlink"/>
    <w:pPr>
      <w:pBdr/>
      <w:spacing/>
      <w:ind/>
    </w:pPr>
    <w:rPr>
      <w:color w:val="0563c1"/>
      <w:u w:val="single"/>
    </w:rPr>
  </w:style>
  <w:style w:type="paragraph" w:styleId="959">
    <w:name w:val="footnote text"/>
    <w:link w:val="960"/>
    <w:uiPriority w:val="99"/>
    <w:semiHidden/>
    <w:unhideWhenUsed/>
    <w:pPr>
      <w:pBdr/>
      <w:spacing w:after="40"/>
      <w:ind/>
    </w:pPr>
    <w:rPr>
      <w:sz w:val="18"/>
    </w:rPr>
  </w:style>
  <w:style w:type="character" w:styleId="960" w:customStyle="1">
    <w:name w:val="Текст сноски Знак"/>
    <w:link w:val="959"/>
    <w:uiPriority w:val="99"/>
    <w:pPr>
      <w:pBdr/>
      <w:spacing/>
      <w:ind/>
    </w:pPr>
    <w:rPr>
      <w:sz w:val="18"/>
    </w:rPr>
  </w:style>
  <w:style w:type="character" w:styleId="96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2">
    <w:name w:val="endnote text"/>
    <w:link w:val="963"/>
    <w:uiPriority w:val="99"/>
    <w:semiHidden/>
    <w:unhideWhenUsed/>
    <w:pPr>
      <w:pBdr/>
      <w:spacing/>
      <w:ind/>
    </w:pPr>
  </w:style>
  <w:style w:type="character" w:styleId="963" w:customStyle="1">
    <w:name w:val="Текст концевой сноски Знак"/>
    <w:link w:val="962"/>
    <w:uiPriority w:val="99"/>
    <w:pPr>
      <w:pBdr/>
      <w:spacing/>
      <w:ind/>
    </w:pPr>
    <w:rPr>
      <w:sz w:val="20"/>
    </w:rPr>
  </w:style>
  <w:style w:type="character" w:styleId="96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5">
    <w:name w:val="toc 1"/>
    <w:uiPriority w:val="39"/>
    <w:unhideWhenUsed/>
    <w:pPr>
      <w:pBdr/>
      <w:spacing w:after="57"/>
      <w:ind/>
    </w:pPr>
  </w:style>
  <w:style w:type="paragraph" w:styleId="966">
    <w:name w:val="toc 2"/>
    <w:uiPriority w:val="39"/>
    <w:unhideWhenUsed/>
    <w:pPr>
      <w:pBdr/>
      <w:spacing w:after="57"/>
      <w:ind w:left="283"/>
    </w:pPr>
  </w:style>
  <w:style w:type="paragraph" w:styleId="967">
    <w:name w:val="toc 3"/>
    <w:uiPriority w:val="39"/>
    <w:unhideWhenUsed/>
    <w:pPr>
      <w:pBdr/>
      <w:spacing w:after="57"/>
      <w:ind w:left="567"/>
    </w:pPr>
  </w:style>
  <w:style w:type="paragraph" w:styleId="968">
    <w:name w:val="toc 4"/>
    <w:uiPriority w:val="39"/>
    <w:unhideWhenUsed/>
    <w:pPr>
      <w:pBdr/>
      <w:spacing w:after="57"/>
      <w:ind w:left="850"/>
    </w:pPr>
  </w:style>
  <w:style w:type="paragraph" w:styleId="969">
    <w:name w:val="toc 5"/>
    <w:uiPriority w:val="39"/>
    <w:unhideWhenUsed/>
    <w:pPr>
      <w:pBdr/>
      <w:spacing w:after="57"/>
      <w:ind w:left="1134"/>
    </w:pPr>
  </w:style>
  <w:style w:type="paragraph" w:styleId="970">
    <w:name w:val="toc 6"/>
    <w:uiPriority w:val="39"/>
    <w:unhideWhenUsed/>
    <w:pPr>
      <w:pBdr/>
      <w:spacing w:after="57"/>
      <w:ind w:left="1417"/>
    </w:pPr>
  </w:style>
  <w:style w:type="paragraph" w:styleId="971">
    <w:name w:val="toc 7"/>
    <w:uiPriority w:val="39"/>
    <w:unhideWhenUsed/>
    <w:pPr>
      <w:pBdr/>
      <w:spacing w:after="57"/>
      <w:ind w:left="1701"/>
    </w:pPr>
  </w:style>
  <w:style w:type="paragraph" w:styleId="972">
    <w:name w:val="toc 8"/>
    <w:uiPriority w:val="39"/>
    <w:unhideWhenUsed/>
    <w:pPr>
      <w:pBdr/>
      <w:spacing w:after="57"/>
      <w:ind w:left="1984"/>
    </w:pPr>
  </w:style>
  <w:style w:type="paragraph" w:styleId="973">
    <w:name w:val="toc 9"/>
    <w:uiPriority w:val="39"/>
    <w:unhideWhenUsed/>
    <w:pPr>
      <w:pBdr/>
      <w:spacing w:after="57"/>
      <w:ind w:left="2268"/>
    </w:p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uiPriority w:val="99"/>
    <w:unhideWhenUsed/>
    <w:pPr>
      <w:pBdr/>
      <w:spacing/>
      <w:ind/>
    </w:pPr>
  </w:style>
  <w:style w:type="character" w:styleId="976" w:customStyle="1">
    <w:name w:val="Верхний колонтитул Знак"/>
    <w:link w:val="826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7" w:customStyle="1">
    <w:name w:val="Нижний колонтитул Знак"/>
    <w:link w:val="828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8" w:customStyle="1">
    <w:name w:val="Без интервала1"/>
    <w:pPr>
      <w:pBdr/>
      <w:spacing/>
      <w:ind/>
    </w:pPr>
    <w:rPr>
      <w:lang w:val="ru-RU"/>
    </w:rPr>
  </w:style>
  <w:style w:type="paragraph" w:styleId="979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0" w:customStyle="1">
    <w:name w:val="docdata"/>
    <w:basedOn w:val="77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1">
    <w:name w:val="Normal (Web)"/>
    <w:basedOn w:val="77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Balloon Text"/>
    <w:basedOn w:val="779"/>
    <w:link w:val="98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3" w:customStyle="1">
    <w:name w:val="Текст выноски Знак"/>
    <w:basedOn w:val="780"/>
    <w:link w:val="9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29</cp:revision>
  <dcterms:created xsi:type="dcterms:W3CDTF">2024-03-14T12:20:00Z</dcterms:created>
  <dcterms:modified xsi:type="dcterms:W3CDTF">2025-05-21T15:06:03Z</dcterms:modified>
</cp:coreProperties>
</file>