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8"/>
        <w:pBdr/>
        <w:spacing w:after="113" w:afterAutospacing="0" w:before="0" w:beforeAutospacing="0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b/>
          <w:color w:val="000000"/>
          <w:sz w:val="28"/>
          <w:lang w:val="uk-UA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/>
        </w:rPr>
      </w:r>
    </w:p>
    <w:p>
      <w:pPr>
        <w:pStyle w:val="963"/>
        <w:pBdr/>
        <w:spacing w:after="113" w:afterAutospacing="0" w:before="0" w:beforeAutospacing="0"/>
        <w:ind/>
        <w:jc w:val="center"/>
        <w:rPr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шістдесят</w:t>
      </w:r>
      <w:r>
        <w:rPr>
          <w:b/>
          <w:bCs/>
          <w:color w:val="000000"/>
          <w:sz w:val="28"/>
          <w:szCs w:val="28"/>
          <w:lang w:val="uk-UA"/>
        </w:rPr>
        <w:t xml:space="preserve"> перша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 xml:space="preserve">сесія восьмого скликання)</w:t>
      </w:r>
      <w:r>
        <w:rPr>
          <w:lang w:val="uk-UA"/>
        </w:rPr>
        <w:t xml:space="preserve"> </w:t>
      </w:r>
      <w:r>
        <w:rPr>
          <w:lang w:val="uk-UA"/>
        </w:rPr>
      </w:r>
    </w:p>
    <w:p>
      <w:pPr>
        <w:pStyle w:val="963"/>
        <w:widowControl w:val="false"/>
        <w:pBdr/>
        <w:spacing w:after="113" w:afterAutospacing="0" w:before="0" w:beforeAutospacing="0"/>
        <w:ind/>
        <w:jc w:val="center"/>
        <w:rPr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РІШЕННЯ</w:t>
      </w:r>
      <w:r>
        <w:rPr>
          <w:lang w:val="uk-UA"/>
        </w:rPr>
      </w:r>
    </w:p>
    <w:p>
      <w:pPr>
        <w:pStyle w:val="756"/>
        <w:pBdr/>
        <w:tabs>
          <w:tab w:val="left" w:leader="none" w:pos="4535"/>
          <w:tab w:val="left" w:leader="none" w:pos="7370"/>
        </w:tabs>
        <w:spacing w:after="113" w:afterAutospacing="0" w:before="0" w:beforeAutospacing="0"/>
        <w:ind/>
        <w:rPr>
          <w:rFonts w:ascii="Times New Roman" w:hAnsi="Times New Roman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травня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року</w:t>
        <w:tab/>
        <w:t xml:space="preserve">м. Мена</w:t>
        <w:tab/>
        <w:t xml:space="preserve">№</w:t>
      </w:r>
      <w:r>
        <w:rPr>
          <w:rFonts w:ascii="Times New Roman" w:hAnsi="Times New Roman"/>
          <w:sz w:val="28"/>
          <w:szCs w:val="28"/>
          <w:lang w:val="uk-UA"/>
        </w:rPr>
        <w:t xml:space="preserve"> 301</w:t>
      </w:r>
      <w:r>
        <w:rPr>
          <w:rFonts w:ascii="Times New Roman" w:hAnsi="Times New Roman"/>
          <w:lang w:val="uk-UA"/>
        </w:rPr>
      </w:r>
      <w:r>
        <w:rPr>
          <w:rFonts w:ascii="Times New Roman" w:hAnsi="Times New Roman"/>
          <w:lang w:val="uk-UA"/>
        </w:rPr>
      </w:r>
    </w:p>
    <w:p>
      <w:pPr>
        <w:pStyle w:val="756"/>
        <w:pBdr/>
        <w:spacing w:after="113" w:afterAutospacing="0" w:before="0" w:beforeAutospacing="0"/>
        <w:ind w:right="5528" w:firstLine="0" w:left="0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проведення земельних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торгів (аукціону) 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756"/>
        <w:pBdr/>
        <w:spacing/>
        <w:ind/>
        <w:rPr>
          <w:rFonts w:ascii="Times New Roman" w:hAnsi="Times New Roman"/>
          <w:sz w:val="16"/>
          <w:szCs w:val="16"/>
          <w:lang w:val="uk-UA"/>
        </w:rPr>
      </w:pPr>
      <w:r>
        <w:rPr>
          <w:rFonts w:ascii="Times New Roman" w:hAnsi="Times New Roman"/>
          <w:sz w:val="16"/>
          <w:szCs w:val="16"/>
          <w:lang w:val="uk-UA"/>
        </w:rPr>
      </w:r>
      <w:r>
        <w:rPr>
          <w:rFonts w:ascii="Times New Roman" w:hAnsi="Times New Roman"/>
          <w:sz w:val="16"/>
          <w:szCs w:val="16"/>
          <w:lang w:val="uk-UA"/>
        </w:rPr>
      </w:r>
      <w:r>
        <w:rPr>
          <w:rFonts w:ascii="Times New Roman" w:hAnsi="Times New Roman"/>
          <w:sz w:val="16"/>
          <w:szCs w:val="16"/>
          <w:lang w:val="uk-UA"/>
        </w:rPr>
      </w:r>
    </w:p>
    <w:p>
      <w:pPr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метою наповнення місцевого бюджету, та керуючись ст.ст. 12, 134-139 Земельного </w:t>
      </w:r>
      <w:r>
        <w:rPr>
          <w:rFonts w:ascii="Times New Roman" w:hAnsi="Times New Roman"/>
          <w:sz w:val="28"/>
          <w:szCs w:val="28"/>
          <w:lang w:val="uk-UA"/>
        </w:rPr>
        <w:t xml:space="preserve">кодексу </w:t>
      </w:r>
      <w:r>
        <w:rPr>
          <w:rFonts w:ascii="Times New Roman" w:hAnsi="Times New Roman"/>
          <w:sz w:val="28"/>
          <w:szCs w:val="28"/>
          <w:lang w:val="uk-UA"/>
        </w:rPr>
        <w:t xml:space="preserve">України, ст. 26, 34 Закону України «Про місцеве самоврядування в Україні», Законом України «Про оренду землі», Менська міська рада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  <w:t xml:space="preserve">1. Включити в перелік земельних ділянок комунальної власності, які виставляються на земельні торги окремими лотами, земельні ділянки комунальної власності для продажу права оренди на земельних торгах у формі аукціону: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spacing/>
        <w:ind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для ведення товарного сільськогосподарського виробництва, </w:t>
      </w:r>
      <w:r>
        <w:rPr>
          <w:rFonts w:ascii="Times New Roman" w:hAnsi="Times New Roman"/>
          <w:color w:val="000000"/>
          <w:sz w:val="28"/>
          <w:lang w:val="uk-UA" w:eastAsia="ar-SA"/>
        </w:rPr>
        <w:t xml:space="preserve">площею </w:t>
      </w:r>
      <w:r>
        <w:rPr>
          <w:rFonts w:ascii="Times New Roman" w:hAnsi="Times New Roman"/>
          <w:color w:val="000000"/>
          <w:sz w:val="28"/>
          <w:lang w:val="uk-UA" w:eastAsia="ar-SA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2,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1234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 га,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кадастровий № 742308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40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0:0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:000: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1000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за межами с. 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Покровське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756"/>
        <w:pBdr/>
        <w:spacing/>
        <w:ind/>
        <w:jc w:val="both"/>
        <w:rPr>
          <w:rFonts w:ascii="Times New Roman" w:hAnsi="Times New Roman"/>
          <w:color w:val="000000"/>
          <w:sz w:val="28"/>
          <w:szCs w:val="28"/>
          <w:highlight w:val="non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для ведення товарного сільськогосподарського виробництва, </w:t>
      </w:r>
      <w:r>
        <w:rPr>
          <w:rFonts w:ascii="Times New Roman" w:hAnsi="Times New Roman"/>
          <w:color w:val="000000"/>
          <w:sz w:val="28"/>
          <w:lang w:val="uk-UA" w:eastAsia="ar-SA"/>
        </w:rPr>
        <w:t xml:space="preserve">площею 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5,9450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 га,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кадастровий № 742308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59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0:0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8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:000:0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964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за межами с. 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Максаки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  <w:highlight w:val="none"/>
          <w:lang w:val="uk-UA"/>
        </w:rPr>
      </w:r>
      <w:r>
        <w:rPr>
          <w:rFonts w:ascii="Times New Roman" w:hAnsi="Times New Roman"/>
          <w:color w:val="000000"/>
          <w:sz w:val="28"/>
          <w:szCs w:val="28"/>
          <w:highlight w:val="none"/>
          <w:lang w:val="uk-UA"/>
        </w:rPr>
      </w:r>
    </w:p>
    <w:p>
      <w:pPr>
        <w:pStyle w:val="756"/>
        <w:pBdr/>
        <w:spacing/>
        <w:ind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lang w:val="uk-UA"/>
        </w:rPr>
        <w:t xml:space="preserve">- для ведення товарного сільськогосподарського виробництва, площею 7,6319 га, кадастровий № 7423085900:08:000:0867, за межами с. Ліски;</w:t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756"/>
        <w:pBdr/>
        <w:spacing/>
        <w:ind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для </w:t>
      </w:r>
      <w:r>
        <w:rPr>
          <w:rFonts w:ascii="Times New Roman" w:hAnsi="Times New Roman"/>
          <w:sz w:val="28"/>
          <w:szCs w:val="28"/>
          <w:lang w:val="uk-UA"/>
        </w:rPr>
        <w:t xml:space="preserve">іншого</w:t>
      </w:r>
      <w:r>
        <w:rPr>
          <w:rFonts w:ascii="Times New Roman" w:hAnsi="Times New Roman"/>
          <w:sz w:val="28"/>
          <w:szCs w:val="28"/>
          <w:lang w:val="uk-UA"/>
        </w:rPr>
        <w:t xml:space="preserve"> сільськогосподарського </w:t>
      </w:r>
      <w:r>
        <w:rPr>
          <w:rFonts w:ascii="Times New Roman" w:hAnsi="Times New Roman"/>
          <w:sz w:val="28"/>
          <w:szCs w:val="28"/>
          <w:lang w:val="uk-UA"/>
        </w:rPr>
        <w:t xml:space="preserve">призначення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lang w:val="uk-UA" w:eastAsia="ar-SA"/>
        </w:rPr>
        <w:t xml:space="preserve">площею 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1,00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га,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кадастровий № 742308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:0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:0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59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с. 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Данилівка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Встановити умови продажу земельних ділянок комунальної власності на </w:t>
      </w:r>
      <w:r>
        <w:rPr>
          <w:rFonts w:ascii="Times New Roman" w:hAnsi="Times New Roman"/>
          <w:sz w:val="28"/>
          <w:szCs w:val="28"/>
          <w:lang w:val="uk-UA"/>
        </w:rPr>
        <w:t xml:space="preserve">земельних </w:t>
      </w:r>
      <w:r>
        <w:rPr>
          <w:rFonts w:ascii="Times New Roman" w:hAnsi="Times New Roman"/>
          <w:sz w:val="28"/>
          <w:szCs w:val="28"/>
          <w:lang w:val="uk-UA"/>
        </w:rPr>
        <w:t xml:space="preserve">торгах у формі аукціону згідно Додатку, та визначити, що: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Стартовий розмір річної орендної плати земель сільськогосподарського призначення 10 (десять) % (відсотків) від нормативної грошової оцінки земельної ділянки.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Гарантійний внесок у розмірі 30 (тридцять) % (відсотків) стартового розміру річної орендної плати.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Гарантійний внесок, сплачений переможцем земельних торгів, зарахувати до купівельної ціни.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Строк дії договору оренди землі сільськогосподарського призначення 7 (сім) років.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Відділу земельних відносин агропромислового розвитку та екології Менськ</w:t>
      </w:r>
      <w:r>
        <w:rPr>
          <w:rFonts w:ascii="Times New Roman" w:hAnsi="Times New Roman"/>
          <w:sz w:val="28"/>
          <w:szCs w:val="28"/>
          <w:lang w:val="uk-UA"/>
        </w:rPr>
        <w:t xml:space="preserve">ої міської ради опублікувати в електронній торговій системі оголошення про проведення земельних торгів.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/>
          <w:sz w:val="28"/>
          <w:szCs w:val="28"/>
          <w:lang w:val="uk-UA"/>
        </w:rPr>
        <w:t xml:space="preserve">Контроль за виконанням рішення покласти </w:t>
      </w:r>
      <w:r>
        <w:rPr>
          <w:rFonts w:ascii="Times New Roman" w:hAnsi="Times New Roman"/>
          <w:sz w:val="28"/>
          <w:szCs w:val="28"/>
          <w:lang w:val="uk-UA"/>
        </w:rPr>
        <w:t xml:space="preserve">на заступника міського голови з </w:t>
      </w:r>
      <w:r>
        <w:rPr>
          <w:rFonts w:ascii="Times New Roman" w:hAnsi="Times New Roman"/>
          <w:color w:val="000000"/>
          <w:sz w:val="28"/>
          <w:lang w:val="uk-UA"/>
        </w:rPr>
        <w:t xml:space="preserve">питань діяльності виконавчих органів ради С.М.Гаєвого.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Секретар ради</w:t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Table Grid"/>
    <w:basedOn w:val="72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6">
    <w:name w:val="Heading 1"/>
    <w:basedOn w:val="756"/>
    <w:next w:val="756"/>
    <w:link w:val="89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7">
    <w:name w:val="Heading 2"/>
    <w:basedOn w:val="756"/>
    <w:next w:val="756"/>
    <w:link w:val="77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8">
    <w:name w:val="Heading 3"/>
    <w:basedOn w:val="756"/>
    <w:next w:val="756"/>
    <w:link w:val="77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9">
    <w:name w:val="Heading 4"/>
    <w:basedOn w:val="756"/>
    <w:next w:val="756"/>
    <w:link w:val="7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0">
    <w:name w:val="Heading 5"/>
    <w:basedOn w:val="756"/>
    <w:next w:val="756"/>
    <w:link w:val="78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1">
    <w:name w:val="Heading 6"/>
    <w:basedOn w:val="756"/>
    <w:next w:val="756"/>
    <w:link w:val="78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2">
    <w:name w:val="Heading 7"/>
    <w:basedOn w:val="756"/>
    <w:next w:val="756"/>
    <w:link w:val="78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3">
    <w:name w:val="Heading 8"/>
    <w:basedOn w:val="756"/>
    <w:next w:val="756"/>
    <w:link w:val="78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4">
    <w:name w:val="Heading 9"/>
    <w:basedOn w:val="756"/>
    <w:next w:val="756"/>
    <w:link w:val="78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5" w:default="1">
    <w:name w:val="Default Paragraph Font"/>
    <w:uiPriority w:val="1"/>
    <w:semiHidden/>
    <w:unhideWhenUsed/>
    <w:pPr>
      <w:pBdr/>
      <w:spacing/>
      <w:ind/>
    </w:pPr>
  </w:style>
  <w:style w:type="numbering" w:styleId="736" w:default="1">
    <w:name w:val="No List"/>
    <w:uiPriority w:val="99"/>
    <w:semiHidden/>
    <w:unhideWhenUsed/>
    <w:pPr>
      <w:pBdr/>
      <w:spacing/>
      <w:ind/>
    </w:pPr>
  </w:style>
  <w:style w:type="paragraph" w:styleId="737">
    <w:name w:val="Title"/>
    <w:basedOn w:val="756"/>
    <w:next w:val="756"/>
    <w:link w:val="7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8">
    <w:name w:val="Subtitle"/>
    <w:basedOn w:val="756"/>
    <w:next w:val="756"/>
    <w:link w:val="78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9">
    <w:name w:val="Intense Emphasis"/>
    <w:basedOn w:val="7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0">
    <w:name w:val="Intense Reference"/>
    <w:basedOn w:val="7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1">
    <w:name w:val="Subtle Emphasis"/>
    <w:basedOn w:val="7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5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5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6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6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6"/>
    <w:next w:val="75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6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6"/>
    <w:link w:val="7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able of figures"/>
    <w:basedOn w:val="756"/>
    <w:next w:val="756"/>
    <w:uiPriority w:val="99"/>
    <w:unhideWhenUsed/>
    <w:pPr>
      <w:pBdr/>
      <w:spacing w:after="0" w:afterAutospacing="0"/>
      <w:ind/>
    </w:pPr>
  </w:style>
  <w:style w:type="paragraph" w:styleId="756" w:default="1">
    <w:name w:val="Normal"/>
    <w:next w:val="7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57">
    <w:name w:val="Заголовок 1"/>
    <w:basedOn w:val="756"/>
    <w:next w:val="756"/>
    <w:link w:val="958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58">
    <w:name w:val="Заголовок 2"/>
    <w:basedOn w:val="756"/>
    <w:next w:val="758"/>
    <w:link w:val="899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59">
    <w:name w:val="Заголовок 3"/>
    <w:basedOn w:val="756"/>
    <w:next w:val="759"/>
    <w:link w:val="900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0">
    <w:name w:val="Заголовок 4"/>
    <w:basedOn w:val="756"/>
    <w:next w:val="760"/>
    <w:link w:val="901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1">
    <w:name w:val="Заголовок 5"/>
    <w:basedOn w:val="756"/>
    <w:next w:val="761"/>
    <w:link w:val="902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2">
    <w:name w:val="Заголовок 6"/>
    <w:basedOn w:val="756"/>
    <w:next w:val="762"/>
    <w:link w:val="903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3">
    <w:name w:val="Заголовок 7"/>
    <w:basedOn w:val="756"/>
    <w:next w:val="763"/>
    <w:link w:val="904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4">
    <w:name w:val="Заголовок 8"/>
    <w:basedOn w:val="756"/>
    <w:next w:val="764"/>
    <w:link w:val="905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5">
    <w:name w:val="Заголовок 9"/>
    <w:basedOn w:val="756"/>
    <w:next w:val="765"/>
    <w:link w:val="906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66">
    <w:name w:val="Основной шрифт абзаца"/>
    <w:next w:val="766"/>
    <w:link w:val="756"/>
    <w:semiHidden/>
    <w:pPr>
      <w:pBdr/>
      <w:spacing/>
      <w:ind/>
    </w:pPr>
  </w:style>
  <w:style w:type="table" w:styleId="767">
    <w:name w:val="Обычная таблица"/>
    <w:next w:val="767"/>
    <w:link w:val="75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8">
    <w:name w:val="Нет списка"/>
    <w:next w:val="768"/>
    <w:link w:val="756"/>
    <w:semiHidden/>
    <w:pPr>
      <w:pBdr/>
      <w:spacing/>
      <w:ind/>
    </w:pPr>
  </w:style>
  <w:style w:type="character" w:styleId="769">
    <w:name w:val="Endnote Text Char"/>
    <w:next w:val="769"/>
    <w:link w:val="756"/>
    <w:pPr>
      <w:pBdr/>
      <w:spacing/>
      <w:ind/>
    </w:pPr>
    <w:rPr>
      <w:sz w:val="20"/>
    </w:rPr>
  </w:style>
  <w:style w:type="paragraph" w:styleId="770">
    <w:name w:val="Название объекта"/>
    <w:basedOn w:val="756"/>
    <w:next w:val="756"/>
    <w:link w:val="756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1">
    <w:name w:val="Caption Char"/>
    <w:next w:val="771"/>
    <w:link w:val="756"/>
    <w:pPr>
      <w:pBdr/>
      <w:spacing/>
      <w:ind/>
    </w:pPr>
  </w:style>
  <w:style w:type="table" w:styleId="772">
    <w:name w:val="Lined - Accent 6"/>
    <w:next w:val="77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3">
    <w:name w:val="Текст концевой сноски"/>
    <w:basedOn w:val="756"/>
    <w:next w:val="773"/>
    <w:link w:val="774"/>
    <w:semiHidden/>
    <w:pPr>
      <w:pBdr/>
      <w:spacing/>
      <w:ind/>
    </w:pPr>
    <w:rPr>
      <w:sz w:val="20"/>
      <w:szCs w:val="20"/>
      <w:lang w:eastAsia="ru-RU"/>
    </w:rPr>
  </w:style>
  <w:style w:type="character" w:styleId="774">
    <w:name w:val="Endnote Text Char1"/>
    <w:next w:val="774"/>
    <w:link w:val="773"/>
    <w:pPr>
      <w:pBdr/>
      <w:spacing/>
      <w:ind/>
    </w:pPr>
    <w:rPr>
      <w:sz w:val="20"/>
    </w:rPr>
  </w:style>
  <w:style w:type="character" w:styleId="775">
    <w:name w:val="Знак концевой сноски"/>
    <w:basedOn w:val="766"/>
    <w:next w:val="775"/>
    <w:link w:val="756"/>
    <w:semiHidden/>
    <w:pPr>
      <w:pBdr/>
      <w:spacing/>
      <w:ind/>
    </w:pPr>
    <w:rPr>
      <w:rFonts w:cs="Times New Roman"/>
      <w:vertAlign w:val="superscript"/>
    </w:rPr>
  </w:style>
  <w:style w:type="paragraph" w:styleId="776">
    <w:name w:val="Перечень рисунков"/>
    <w:basedOn w:val="756"/>
    <w:next w:val="756"/>
    <w:link w:val="756"/>
    <w:pPr>
      <w:pBdr/>
      <w:spacing/>
      <w:ind/>
    </w:pPr>
  </w:style>
  <w:style w:type="character" w:styleId="777">
    <w:name w:val="Heading 2 Char"/>
    <w:basedOn w:val="766"/>
    <w:next w:val="777"/>
    <w:link w:val="756"/>
    <w:pPr>
      <w:pBdr/>
      <w:spacing/>
      <w:ind/>
    </w:pPr>
    <w:rPr>
      <w:rFonts w:ascii="Arial" w:hAnsi="Arial" w:eastAsia="Times New Roman" w:cs="Arial"/>
      <w:sz w:val="34"/>
    </w:rPr>
  </w:style>
  <w:style w:type="character" w:styleId="778">
    <w:name w:val="Heading 3 Char"/>
    <w:basedOn w:val="766"/>
    <w:next w:val="778"/>
    <w:link w:val="75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9">
    <w:name w:val="Heading 4 Char"/>
    <w:basedOn w:val="766"/>
    <w:next w:val="779"/>
    <w:link w:val="75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0">
    <w:name w:val="Heading 5 Char"/>
    <w:basedOn w:val="766"/>
    <w:next w:val="780"/>
    <w:link w:val="75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1">
    <w:name w:val="Heading 6 Char"/>
    <w:basedOn w:val="766"/>
    <w:next w:val="781"/>
    <w:link w:val="75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2">
    <w:name w:val="Heading 7 Char"/>
    <w:basedOn w:val="766"/>
    <w:next w:val="782"/>
    <w:link w:val="75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3">
    <w:name w:val="Heading 8 Char"/>
    <w:basedOn w:val="766"/>
    <w:next w:val="783"/>
    <w:link w:val="75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4">
    <w:name w:val="Heading 9 Char"/>
    <w:basedOn w:val="766"/>
    <w:next w:val="784"/>
    <w:link w:val="75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5">
    <w:name w:val="Title Char"/>
    <w:basedOn w:val="766"/>
    <w:next w:val="785"/>
    <w:link w:val="756"/>
    <w:pPr>
      <w:pBdr/>
      <w:spacing/>
      <w:ind/>
    </w:pPr>
    <w:rPr>
      <w:rFonts w:cs="Times New Roman"/>
      <w:sz w:val="48"/>
      <w:szCs w:val="48"/>
    </w:rPr>
  </w:style>
  <w:style w:type="character" w:styleId="786">
    <w:name w:val="Subtitle Char"/>
    <w:basedOn w:val="766"/>
    <w:next w:val="786"/>
    <w:link w:val="756"/>
    <w:pPr>
      <w:pBdr/>
      <w:spacing/>
      <w:ind/>
    </w:pPr>
    <w:rPr>
      <w:rFonts w:cs="Times New Roman"/>
      <w:sz w:val="24"/>
      <w:szCs w:val="24"/>
    </w:rPr>
  </w:style>
  <w:style w:type="character" w:styleId="787">
    <w:name w:val="Quote Char"/>
    <w:next w:val="787"/>
    <w:link w:val="756"/>
    <w:pPr>
      <w:pBdr/>
      <w:spacing/>
      <w:ind/>
    </w:pPr>
    <w:rPr>
      <w:i/>
    </w:rPr>
  </w:style>
  <w:style w:type="character" w:styleId="788">
    <w:name w:val="Intense Quote Char"/>
    <w:next w:val="788"/>
    <w:link w:val="756"/>
    <w:pPr>
      <w:pBdr/>
      <w:spacing/>
      <w:ind/>
    </w:pPr>
    <w:rPr>
      <w:i/>
    </w:rPr>
  </w:style>
  <w:style w:type="character" w:styleId="789">
    <w:name w:val="Header Char"/>
    <w:basedOn w:val="766"/>
    <w:next w:val="789"/>
    <w:link w:val="756"/>
    <w:pPr>
      <w:pBdr/>
      <w:spacing/>
      <w:ind/>
    </w:pPr>
    <w:rPr>
      <w:rFonts w:cs="Times New Roman"/>
    </w:rPr>
  </w:style>
  <w:style w:type="character" w:styleId="790">
    <w:name w:val="Footer Char"/>
    <w:basedOn w:val="766"/>
    <w:next w:val="790"/>
    <w:link w:val="756"/>
    <w:pPr>
      <w:pBdr/>
      <w:spacing/>
      <w:ind/>
    </w:pPr>
    <w:rPr>
      <w:rFonts w:cs="Times New Roman"/>
    </w:rPr>
  </w:style>
  <w:style w:type="table" w:styleId="791">
    <w:name w:val="Table Grid Light"/>
    <w:next w:val="791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1"/>
    <w:next w:val="792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2"/>
    <w:next w:val="793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3"/>
    <w:next w:val="7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4"/>
    <w:next w:val="79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5"/>
    <w:next w:val="79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"/>
    <w:next w:val="79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1"/>
    <w:next w:val="79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- Accent 2"/>
    <w:next w:val="79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3"/>
    <w:next w:val="80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4"/>
    <w:next w:val="80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5"/>
    <w:next w:val="80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6"/>
    <w:next w:val="80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"/>
    <w:next w:val="80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1"/>
    <w:next w:val="80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- Accent 2"/>
    <w:next w:val="80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3"/>
    <w:next w:val="80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4"/>
    <w:next w:val="80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5"/>
    <w:next w:val="80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6"/>
    <w:next w:val="81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"/>
    <w:next w:val="81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1"/>
    <w:next w:val="81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- Accent 2"/>
    <w:next w:val="81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3"/>
    <w:next w:val="81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4"/>
    <w:next w:val="81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5"/>
    <w:next w:val="81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6"/>
    <w:next w:val="81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"/>
    <w:next w:val="81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1"/>
    <w:next w:val="81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- Accent 2"/>
    <w:next w:val="82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3"/>
    <w:next w:val="82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4"/>
    <w:next w:val="82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5"/>
    <w:next w:val="82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6"/>
    <w:next w:val="82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"/>
    <w:next w:val="82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- Accent 1"/>
    <w:next w:val="82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 - Accent 2"/>
    <w:next w:val="82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- Accent 3"/>
    <w:next w:val="82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4"/>
    <w:next w:val="82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5"/>
    <w:next w:val="83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6"/>
    <w:next w:val="83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"/>
    <w:next w:val="83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1"/>
    <w:next w:val="83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- Accent 2"/>
    <w:next w:val="83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3"/>
    <w:next w:val="83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4"/>
    <w:next w:val="83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5"/>
    <w:next w:val="83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6"/>
    <w:next w:val="83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"/>
    <w:next w:val="83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1"/>
    <w:next w:val="84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- Accent 2"/>
    <w:next w:val="84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3"/>
    <w:next w:val="84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4"/>
    <w:next w:val="84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5"/>
    <w:next w:val="84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6"/>
    <w:next w:val="84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"/>
    <w:next w:val="84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1"/>
    <w:next w:val="84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- Accent 2"/>
    <w:next w:val="84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3"/>
    <w:next w:val="84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4"/>
    <w:next w:val="85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5"/>
    <w:next w:val="85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6"/>
    <w:next w:val="85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"/>
    <w:next w:val="85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1"/>
    <w:next w:val="85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- Accent 2"/>
    <w:next w:val="85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3"/>
    <w:next w:val="85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4"/>
    <w:next w:val="85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5"/>
    <w:next w:val="85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6"/>
    <w:next w:val="85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"/>
    <w:next w:val="86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1"/>
    <w:next w:val="86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- Accent 2"/>
    <w:next w:val="86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3"/>
    <w:next w:val="86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4"/>
    <w:next w:val="86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5"/>
    <w:next w:val="86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6"/>
    <w:next w:val="86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"/>
    <w:next w:val="86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1"/>
    <w:next w:val="86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- Accent 2"/>
    <w:next w:val="86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3"/>
    <w:next w:val="87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4"/>
    <w:next w:val="87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5"/>
    <w:next w:val="87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6"/>
    <w:next w:val="87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"/>
    <w:next w:val="87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1"/>
    <w:next w:val="87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- Accent 2"/>
    <w:next w:val="87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3"/>
    <w:next w:val="87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4"/>
    <w:next w:val="87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5"/>
    <w:next w:val="87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6"/>
    <w:next w:val="88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"/>
    <w:next w:val="88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1"/>
    <w:next w:val="88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- Accent 2"/>
    <w:next w:val="88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3"/>
    <w:next w:val="88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4"/>
    <w:next w:val="88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5"/>
    <w:next w:val="88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6"/>
    <w:next w:val="88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"/>
    <w:next w:val="88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1"/>
    <w:next w:val="88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- Accent 2"/>
    <w:next w:val="89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3"/>
    <w:next w:val="89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4"/>
    <w:next w:val="89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5"/>
    <w:next w:val="89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6"/>
    <w:next w:val="8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"/>
    <w:next w:val="89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>
    <w:name w:val="Footnote Text Char"/>
    <w:next w:val="897"/>
    <w:link w:val="756"/>
    <w:pPr>
      <w:pBdr/>
      <w:spacing/>
      <w:ind/>
    </w:pPr>
    <w:rPr>
      <w:sz w:val="18"/>
    </w:rPr>
  </w:style>
  <w:style w:type="character" w:styleId="898">
    <w:name w:val="Heading 1 Char"/>
    <w:next w:val="898"/>
    <w:link w:val="756"/>
    <w:pPr>
      <w:pBdr/>
      <w:spacing/>
      <w:ind/>
    </w:pPr>
    <w:rPr>
      <w:rFonts w:ascii="Arial" w:hAnsi="Arial" w:eastAsia="Times New Roman"/>
      <w:sz w:val="40"/>
    </w:rPr>
  </w:style>
  <w:style w:type="character" w:styleId="899">
    <w:name w:val="Heading 2 Char1"/>
    <w:next w:val="899"/>
    <w:link w:val="758"/>
    <w:pPr>
      <w:pBdr/>
      <w:spacing/>
      <w:ind/>
    </w:pPr>
    <w:rPr>
      <w:rFonts w:ascii="Arial" w:hAnsi="Arial" w:eastAsia="Times New Roman"/>
      <w:sz w:val="22"/>
    </w:rPr>
  </w:style>
  <w:style w:type="character" w:styleId="900">
    <w:name w:val="Heading 3 Char1"/>
    <w:next w:val="900"/>
    <w:link w:val="759"/>
    <w:pPr>
      <w:pBdr/>
      <w:spacing/>
      <w:ind/>
    </w:pPr>
    <w:rPr>
      <w:rFonts w:ascii="Arial" w:hAnsi="Arial" w:eastAsia="Times New Roman"/>
      <w:sz w:val="30"/>
    </w:rPr>
  </w:style>
  <w:style w:type="character" w:styleId="901">
    <w:name w:val="Heading 4 Char1"/>
    <w:next w:val="901"/>
    <w:link w:val="760"/>
    <w:pPr>
      <w:pBdr/>
      <w:spacing/>
      <w:ind/>
    </w:pPr>
    <w:rPr>
      <w:rFonts w:ascii="Arial" w:hAnsi="Arial" w:eastAsia="Times New Roman"/>
      <w:b/>
      <w:sz w:val="26"/>
    </w:rPr>
  </w:style>
  <w:style w:type="character" w:styleId="902">
    <w:name w:val="Heading 5 Char1"/>
    <w:next w:val="902"/>
    <w:link w:val="761"/>
    <w:pPr>
      <w:pBdr/>
      <w:spacing/>
      <w:ind/>
    </w:pPr>
    <w:rPr>
      <w:rFonts w:ascii="Arial" w:hAnsi="Arial" w:eastAsia="Times New Roman"/>
      <w:b/>
      <w:sz w:val="24"/>
    </w:rPr>
  </w:style>
  <w:style w:type="character" w:styleId="903">
    <w:name w:val="Heading 6 Char1"/>
    <w:next w:val="903"/>
    <w:link w:val="762"/>
    <w:pPr>
      <w:pBdr/>
      <w:spacing/>
      <w:ind/>
    </w:pPr>
    <w:rPr>
      <w:rFonts w:ascii="Arial" w:hAnsi="Arial" w:eastAsia="Times New Roman"/>
      <w:b/>
      <w:sz w:val="22"/>
    </w:rPr>
  </w:style>
  <w:style w:type="character" w:styleId="904">
    <w:name w:val="Heading 7 Char1"/>
    <w:next w:val="904"/>
    <w:link w:val="76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5">
    <w:name w:val="Heading 8 Char1"/>
    <w:next w:val="905"/>
    <w:link w:val="764"/>
    <w:pPr>
      <w:pBdr/>
      <w:spacing/>
      <w:ind/>
    </w:pPr>
    <w:rPr>
      <w:rFonts w:ascii="Arial" w:hAnsi="Arial" w:eastAsia="Times New Roman"/>
      <w:i/>
      <w:sz w:val="22"/>
    </w:rPr>
  </w:style>
  <w:style w:type="character" w:styleId="906">
    <w:name w:val="Heading 9 Char1"/>
    <w:next w:val="906"/>
    <w:link w:val="765"/>
    <w:pPr>
      <w:pBdr/>
      <w:spacing/>
      <w:ind/>
    </w:pPr>
    <w:rPr>
      <w:rFonts w:ascii="Arial" w:hAnsi="Arial" w:eastAsia="Times New Roman"/>
      <w:i/>
      <w:sz w:val="21"/>
    </w:rPr>
  </w:style>
  <w:style w:type="paragraph" w:styleId="907">
    <w:name w:val="List Paragraph"/>
    <w:next w:val="907"/>
    <w:link w:val="75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08">
    <w:name w:val="No Spacing"/>
    <w:next w:val="908"/>
    <w:link w:val="92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09">
    <w:name w:val="Название"/>
    <w:basedOn w:val="756"/>
    <w:next w:val="909"/>
    <w:link w:val="910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0">
    <w:name w:val="Title Char1"/>
    <w:next w:val="910"/>
    <w:link w:val="909"/>
    <w:pPr>
      <w:pBdr/>
      <w:spacing/>
      <w:ind/>
    </w:pPr>
    <w:rPr>
      <w:sz w:val="48"/>
    </w:rPr>
  </w:style>
  <w:style w:type="paragraph" w:styleId="911">
    <w:name w:val="Подзаголовок"/>
    <w:basedOn w:val="756"/>
    <w:next w:val="911"/>
    <w:link w:val="912"/>
    <w:pPr>
      <w:pBdr/>
      <w:spacing w:after="200" w:before="200"/>
      <w:ind/>
    </w:pPr>
    <w:rPr>
      <w:sz w:val="24"/>
      <w:szCs w:val="24"/>
      <w:lang w:eastAsia="ru-RU"/>
    </w:rPr>
  </w:style>
  <w:style w:type="character" w:styleId="912">
    <w:name w:val="Subtitle Char1"/>
    <w:next w:val="912"/>
    <w:link w:val="911"/>
    <w:pPr>
      <w:pBdr/>
      <w:spacing/>
      <w:ind/>
    </w:pPr>
    <w:rPr>
      <w:sz w:val="24"/>
    </w:rPr>
  </w:style>
  <w:style w:type="paragraph" w:styleId="913">
    <w:name w:val="Quote"/>
    <w:next w:val="913"/>
    <w:link w:val="91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4">
    <w:name w:val="Quote Char1"/>
    <w:next w:val="914"/>
    <w:link w:val="913"/>
    <w:pPr>
      <w:pBdr/>
      <w:spacing/>
      <w:ind/>
    </w:pPr>
    <w:rPr>
      <w:i/>
      <w:sz w:val="22"/>
      <w:lang w:val="ru-RU" w:eastAsia="en-US"/>
    </w:rPr>
  </w:style>
  <w:style w:type="paragraph" w:styleId="915">
    <w:name w:val="Intense Quote"/>
    <w:next w:val="915"/>
    <w:link w:val="91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6">
    <w:name w:val="Intense Quote Char1"/>
    <w:next w:val="916"/>
    <w:link w:val="91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17">
    <w:name w:val="Верхний колонтитул"/>
    <w:basedOn w:val="756"/>
    <w:next w:val="917"/>
    <w:link w:val="91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18">
    <w:name w:val="Header Char1"/>
    <w:next w:val="918"/>
    <w:link w:val="917"/>
    <w:pPr>
      <w:pBdr/>
      <w:spacing/>
      <w:ind/>
    </w:pPr>
    <w:rPr>
      <w:sz w:val="22"/>
      <w:lang w:val="ru-RU" w:eastAsia="en-US"/>
    </w:rPr>
  </w:style>
  <w:style w:type="paragraph" w:styleId="919">
    <w:name w:val="Нижний колонтитул"/>
    <w:basedOn w:val="756"/>
    <w:next w:val="919"/>
    <w:link w:val="92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0">
    <w:name w:val="Footer Char1"/>
    <w:next w:val="920"/>
    <w:link w:val="919"/>
    <w:pPr>
      <w:pBdr/>
      <w:spacing/>
      <w:ind/>
    </w:pPr>
    <w:rPr>
      <w:sz w:val="22"/>
      <w:lang w:val="ru-RU" w:eastAsia="en-US"/>
    </w:rPr>
  </w:style>
  <w:style w:type="table" w:styleId="921">
    <w:name w:val="Сетка таблицы"/>
    <w:basedOn w:val="767"/>
    <w:next w:val="92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"/>
    <w:next w:val="92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1"/>
    <w:next w:val="923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2"/>
    <w:next w:val="924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3"/>
    <w:next w:val="92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4"/>
    <w:next w:val="92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5"/>
    <w:next w:val="92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No Spacing Char"/>
    <w:next w:val="928"/>
    <w:link w:val="90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"/>
    <w:next w:val="929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1"/>
    <w:next w:val="930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2"/>
    <w:next w:val="93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3"/>
    <w:next w:val="932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4"/>
    <w:next w:val="933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5"/>
    <w:next w:val="934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6"/>
    <w:next w:val="935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"/>
    <w:next w:val="93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1"/>
    <w:next w:val="93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2"/>
    <w:next w:val="938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3"/>
    <w:next w:val="939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4"/>
    <w:next w:val="940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5"/>
    <w:next w:val="941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6"/>
    <w:next w:val="94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Гиперссылка"/>
    <w:basedOn w:val="766"/>
    <w:next w:val="943"/>
    <w:link w:val="756"/>
    <w:pPr>
      <w:pBdr/>
      <w:spacing/>
      <w:ind/>
    </w:pPr>
    <w:rPr>
      <w:color w:val="0000ff"/>
      <w:u w:val="single"/>
    </w:rPr>
  </w:style>
  <w:style w:type="paragraph" w:styleId="944">
    <w:name w:val="Текст сноски"/>
    <w:basedOn w:val="756"/>
    <w:next w:val="944"/>
    <w:link w:val="945"/>
    <w:semiHidden/>
    <w:pPr>
      <w:pBdr/>
      <w:spacing w:after="40"/>
      <w:ind/>
    </w:pPr>
    <w:rPr>
      <w:sz w:val="18"/>
      <w:lang w:eastAsia="ru-RU"/>
    </w:rPr>
  </w:style>
  <w:style w:type="character" w:styleId="945">
    <w:name w:val="Footnote Text Char1"/>
    <w:next w:val="945"/>
    <w:link w:val="944"/>
    <w:semiHidden/>
    <w:pPr>
      <w:pBdr/>
      <w:spacing/>
      <w:ind/>
    </w:pPr>
    <w:rPr>
      <w:sz w:val="22"/>
    </w:rPr>
  </w:style>
  <w:style w:type="character" w:styleId="946">
    <w:name w:val="Знак сноски"/>
    <w:basedOn w:val="766"/>
    <w:next w:val="946"/>
    <w:link w:val="756"/>
    <w:pPr>
      <w:pBdr/>
      <w:spacing/>
      <w:ind/>
    </w:pPr>
    <w:rPr>
      <w:vertAlign w:val="superscript"/>
    </w:rPr>
  </w:style>
  <w:style w:type="paragraph" w:styleId="947">
    <w:name w:val="Оглавление 1"/>
    <w:basedOn w:val="756"/>
    <w:next w:val="947"/>
    <w:link w:val="756"/>
    <w:pPr>
      <w:pBdr/>
      <w:spacing w:after="57"/>
      <w:ind/>
    </w:pPr>
  </w:style>
  <w:style w:type="paragraph" w:styleId="948">
    <w:name w:val="Оглавление 2"/>
    <w:basedOn w:val="756"/>
    <w:next w:val="948"/>
    <w:link w:val="756"/>
    <w:pPr>
      <w:pBdr/>
      <w:spacing w:after="57"/>
      <w:ind w:left="283"/>
    </w:pPr>
  </w:style>
  <w:style w:type="paragraph" w:styleId="949">
    <w:name w:val="Оглавление 3"/>
    <w:basedOn w:val="756"/>
    <w:next w:val="949"/>
    <w:link w:val="756"/>
    <w:pPr>
      <w:pBdr/>
      <w:spacing w:after="57"/>
      <w:ind w:left="567"/>
    </w:pPr>
  </w:style>
  <w:style w:type="paragraph" w:styleId="950">
    <w:name w:val="Оглавление 4"/>
    <w:basedOn w:val="756"/>
    <w:next w:val="950"/>
    <w:link w:val="756"/>
    <w:pPr>
      <w:pBdr/>
      <w:spacing w:after="57"/>
      <w:ind w:left="850"/>
    </w:pPr>
  </w:style>
  <w:style w:type="paragraph" w:styleId="951">
    <w:name w:val="Оглавление 5"/>
    <w:basedOn w:val="756"/>
    <w:next w:val="951"/>
    <w:link w:val="756"/>
    <w:pPr>
      <w:pBdr/>
      <w:spacing w:after="57"/>
      <w:ind w:left="1134"/>
    </w:pPr>
  </w:style>
  <w:style w:type="paragraph" w:styleId="952">
    <w:name w:val="Оглавление 6"/>
    <w:basedOn w:val="756"/>
    <w:next w:val="952"/>
    <w:link w:val="756"/>
    <w:pPr>
      <w:pBdr/>
      <w:spacing w:after="57"/>
      <w:ind w:left="1417"/>
    </w:pPr>
  </w:style>
  <w:style w:type="paragraph" w:styleId="953">
    <w:name w:val="Оглавление 7"/>
    <w:basedOn w:val="756"/>
    <w:next w:val="953"/>
    <w:link w:val="756"/>
    <w:pPr>
      <w:pBdr/>
      <w:spacing w:after="57"/>
      <w:ind w:left="1701"/>
    </w:pPr>
  </w:style>
  <w:style w:type="paragraph" w:styleId="954">
    <w:name w:val="Оглавление 8"/>
    <w:basedOn w:val="756"/>
    <w:next w:val="954"/>
    <w:link w:val="756"/>
    <w:pPr>
      <w:pBdr/>
      <w:spacing w:after="57"/>
      <w:ind w:left="1984"/>
    </w:pPr>
  </w:style>
  <w:style w:type="paragraph" w:styleId="955">
    <w:name w:val="Оглавление 9"/>
    <w:basedOn w:val="756"/>
    <w:next w:val="955"/>
    <w:link w:val="756"/>
    <w:pPr>
      <w:pBdr/>
      <w:spacing w:after="57"/>
      <w:ind w:left="2268"/>
    </w:pPr>
  </w:style>
  <w:style w:type="paragraph" w:styleId="956">
    <w:name w:val="TOC Heading"/>
    <w:next w:val="9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57">
    <w:name w:val="Титулка"/>
    <w:basedOn w:val="756"/>
    <w:next w:val="957"/>
    <w:link w:val="756"/>
    <w:pPr>
      <w:pBdr/>
      <w:spacing w:after="120"/>
      <w:ind/>
    </w:pPr>
    <w:rPr>
      <w:b/>
      <w:sz w:val="28"/>
      <w:lang w:eastAsia="ar-SA"/>
    </w:rPr>
  </w:style>
  <w:style w:type="character" w:styleId="958">
    <w:name w:val="Heading 1 Char1"/>
    <w:next w:val="958"/>
    <w:link w:val="75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59">
    <w:name w:val="Текст выноски"/>
    <w:basedOn w:val="756"/>
    <w:next w:val="959"/>
    <w:link w:val="96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0">
    <w:name w:val="Balloon Text Char"/>
    <w:basedOn w:val="766"/>
    <w:next w:val="960"/>
    <w:link w:val="95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1">
    <w:name w:val="TOC Heading Char"/>
    <w:next w:val="961"/>
    <w:link w:val="75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66"/>
    <w:next w:val="962"/>
    <w:link w:val="756"/>
    <w:pPr>
      <w:pBdr/>
      <w:spacing/>
      <w:ind/>
    </w:pPr>
  </w:style>
  <w:style w:type="paragraph" w:styleId="963">
    <w:name w:val="Обычный (веб)"/>
    <w:basedOn w:val="756"/>
    <w:next w:val="963"/>
    <w:link w:val="756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18</cp:revision>
  <dcterms:created xsi:type="dcterms:W3CDTF">2025-01-06T06:33:00Z</dcterms:created>
  <dcterms:modified xsi:type="dcterms:W3CDTF">2025-05-21T16:43:13Z</dcterms:modified>
  <cp:version>730895</cp:version>
</cp:coreProperties>
</file>