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40"/>
        <w:pBdr/>
        <w:spacing/>
        <w:ind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740"/>
        <w:pBdr/>
        <w:spacing/>
        <w:ind/>
        <w:rPr/>
      </w:pPr>
      <w:r>
        <w:t xml:space="preserve">МЕНСЬКА  МІСЬКА  РАДА</w:t>
      </w:r>
      <w:r/>
    </w:p>
    <w:p>
      <w:pPr>
        <w:pStyle w:val="940"/>
        <w:pBdr/>
        <w:spacing/>
        <w:ind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940"/>
        <w:pBdr/>
        <w:spacing/>
        <w:ind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РОЗПОРЯДЖЕННЯ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940"/>
        <w:pBdr/>
        <w:spacing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1"/>
        <w:pBdr/>
        <w:shd w:val="clear" w:color="auto" w:fill="auto"/>
        <w:spacing w:after="0" w:before="0" w:line="240" w:lineRule="auto"/>
        <w:ind w:right="80"/>
        <w:jc w:val="left"/>
        <w:rPr>
          <w:b w:val="0"/>
          <w:sz w:val="28"/>
          <w:szCs w:val="28"/>
          <w:lang w:val="uk-UA"/>
        </w:rPr>
      </w:pPr>
      <w:r>
        <w:rPr>
          <w:b w:val="0"/>
          <w:sz w:val="28"/>
          <w:szCs w:val="28"/>
          <w:lang w:val="uk-UA"/>
        </w:rPr>
        <w:t xml:space="preserve">3</w:t>
      </w:r>
      <w:r>
        <w:rPr>
          <w:b w:val="0"/>
          <w:sz w:val="28"/>
          <w:szCs w:val="28"/>
          <w:lang w:val="uk-UA"/>
        </w:rPr>
        <w:t xml:space="preserve">0</w:t>
      </w:r>
      <w:r>
        <w:rPr>
          <w:b w:val="0"/>
          <w:sz w:val="28"/>
          <w:szCs w:val="28"/>
          <w:lang w:val="uk-UA"/>
        </w:rPr>
        <w:t xml:space="preserve"> </w:t>
      </w:r>
      <w:r>
        <w:rPr>
          <w:b w:val="0"/>
          <w:sz w:val="28"/>
          <w:szCs w:val="28"/>
          <w:lang w:val="uk-UA"/>
        </w:rPr>
        <w:t xml:space="preserve">квіт</w:t>
      </w:r>
      <w:r>
        <w:rPr>
          <w:b w:val="0"/>
          <w:sz w:val="28"/>
          <w:szCs w:val="28"/>
          <w:lang w:val="uk-UA"/>
        </w:rPr>
        <w:t xml:space="preserve">ня </w:t>
      </w:r>
      <w:r>
        <w:rPr>
          <w:b w:val="0"/>
          <w:sz w:val="28"/>
          <w:szCs w:val="28"/>
          <w:lang w:val="uk-UA"/>
        </w:rPr>
        <w:t xml:space="preserve">20</w:t>
      </w:r>
      <w:r>
        <w:rPr>
          <w:b w:val="0"/>
          <w:sz w:val="28"/>
          <w:szCs w:val="28"/>
          <w:lang w:val="uk-UA"/>
        </w:rPr>
        <w:t xml:space="preserve">2</w:t>
      </w:r>
      <w:r>
        <w:rPr>
          <w:b w:val="0"/>
          <w:sz w:val="28"/>
          <w:szCs w:val="28"/>
          <w:lang w:val="uk-UA"/>
        </w:rPr>
        <w:t xml:space="preserve">5</w:t>
      </w:r>
      <w:r>
        <w:rPr>
          <w:b w:val="0"/>
          <w:sz w:val="28"/>
          <w:szCs w:val="28"/>
          <w:lang w:val="uk-UA"/>
        </w:rPr>
        <w:t xml:space="preserve"> року</w:t>
      </w:r>
      <w:r>
        <w:rPr>
          <w:b w:val="0"/>
          <w:sz w:val="28"/>
          <w:szCs w:val="28"/>
          <w:lang w:val="uk-UA"/>
        </w:rPr>
        <w:t xml:space="preserve"> </w:t>
      </w:r>
      <w:r>
        <w:rPr>
          <w:b w:val="0"/>
          <w:sz w:val="28"/>
          <w:szCs w:val="28"/>
          <w:lang w:val="uk-UA"/>
        </w:rPr>
        <w:tab/>
      </w:r>
      <w:r>
        <w:rPr>
          <w:b w:val="0"/>
          <w:sz w:val="28"/>
          <w:szCs w:val="28"/>
          <w:lang w:val="uk-UA"/>
        </w:rPr>
        <w:tab/>
      </w:r>
      <w:r>
        <w:rPr>
          <w:b w:val="0"/>
          <w:sz w:val="28"/>
          <w:szCs w:val="28"/>
          <w:lang w:val="uk-UA"/>
        </w:rPr>
        <w:tab/>
        <w:t xml:space="preserve">м. Мена</w:t>
      </w:r>
      <w:r>
        <w:rPr>
          <w:b w:val="0"/>
          <w:sz w:val="28"/>
          <w:szCs w:val="28"/>
          <w:lang w:val="uk-UA"/>
        </w:rPr>
        <w:tab/>
      </w:r>
      <w:r>
        <w:rPr>
          <w:b w:val="0"/>
          <w:sz w:val="28"/>
          <w:szCs w:val="28"/>
          <w:lang w:val="uk-UA"/>
        </w:rPr>
        <w:tab/>
      </w:r>
      <w:r>
        <w:rPr>
          <w:b w:val="0"/>
          <w:sz w:val="28"/>
          <w:szCs w:val="28"/>
          <w:lang w:val="uk-UA"/>
        </w:rPr>
        <w:tab/>
      </w:r>
      <w:r>
        <w:rPr>
          <w:b w:val="0"/>
          <w:sz w:val="28"/>
          <w:szCs w:val="28"/>
          <w:lang w:val="uk-UA"/>
        </w:rPr>
        <w:tab/>
        <w:t xml:space="preserve">№ </w:t>
      </w:r>
      <w:r>
        <w:rPr>
          <w:b w:val="0"/>
          <w:sz w:val="28"/>
          <w:szCs w:val="28"/>
          <w:lang w:val="uk-UA"/>
        </w:rPr>
        <w:t xml:space="preserve">110</w:t>
      </w:r>
      <w:bookmarkStart w:id="0" w:name="_GoBack"/>
      <w:r/>
      <w:bookmarkEnd w:id="0"/>
      <w:r>
        <w:rPr>
          <w:b w:val="0"/>
          <w:sz w:val="28"/>
          <w:szCs w:val="28"/>
          <w:lang w:val="uk-UA"/>
        </w:rPr>
      </w:r>
      <w:r>
        <w:rPr>
          <w:b w:val="0"/>
          <w:sz w:val="28"/>
          <w:szCs w:val="28"/>
          <w:lang w:val="uk-UA"/>
        </w:rPr>
      </w:r>
    </w:p>
    <w:p>
      <w:pPr>
        <w:pStyle w:val="951"/>
        <w:pBdr/>
        <w:shd w:val="clear" w:color="auto" w:fill="auto"/>
        <w:spacing w:after="0" w:before="0" w:line="240" w:lineRule="auto"/>
        <w:ind w:right="80"/>
        <w:jc w:val="lef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949"/>
        <w:pBdr/>
        <w:shd w:val="clear" w:color="auto" w:fill="auto"/>
        <w:spacing w:after="0" w:before="0" w:line="240" w:lineRule="auto"/>
        <w:ind w:right="-6"/>
        <w:jc w:val="both"/>
        <w:rPr>
          <w:b/>
          <w:bCs/>
          <w:lang w:val="uk-UA"/>
        </w:rPr>
      </w:pPr>
      <w:r>
        <w:rPr>
          <w:b/>
          <w:lang w:val="uk-UA"/>
        </w:rPr>
        <w:t xml:space="preserve">Про </w:t>
      </w:r>
      <w:r>
        <w:rPr>
          <w:b/>
          <w:lang w:val="uk-UA"/>
        </w:rPr>
        <w:t xml:space="preserve">здійснення розпорядниками (одержувачами) бюджетних коштів попередньої оплати товарів, робіт і послуг, що закуповуються за бюджетні кошти по Менській міській раді </w:t>
      </w:r>
      <w:r>
        <w:rPr>
          <w:b/>
          <w:bCs/>
          <w:lang w:val="uk-UA"/>
        </w:rPr>
      </w:r>
      <w:r>
        <w:rPr>
          <w:b/>
          <w:bCs/>
          <w:lang w:val="uk-UA"/>
        </w:rPr>
      </w:r>
    </w:p>
    <w:p>
      <w:pPr>
        <w:pStyle w:val="949"/>
        <w:pBdr/>
        <w:shd w:val="clear" w:color="auto" w:fill="auto"/>
        <w:spacing w:after="0" w:before="0" w:line="240" w:lineRule="auto"/>
        <w:ind w:right="-6"/>
        <w:jc w:val="both"/>
        <w:rPr>
          <w:b/>
          <w:bCs/>
          <w:lang w:val="uk-UA"/>
        </w:rPr>
      </w:pPr>
      <w:r>
        <w:rPr>
          <w:b/>
          <w:bCs/>
          <w:lang w:val="uk-UA"/>
        </w:rPr>
      </w:r>
      <w:r>
        <w:rPr>
          <w:b/>
          <w:bCs/>
          <w:lang w:val="uk-UA"/>
        </w:rPr>
      </w:r>
      <w:r>
        <w:rPr>
          <w:b/>
          <w:bCs/>
          <w:lang w:val="uk-UA"/>
        </w:rPr>
      </w:r>
    </w:p>
    <w:p>
      <w:pPr>
        <w:pStyle w:val="940"/>
        <w:pBdr/>
        <w:spacing/>
        <w:ind w:firstLine="567"/>
        <w:jc w:val="both"/>
        <w:rPr>
          <w:rFonts w:ascii="Times New Roman" w:hAnsi="Times New Roman"/>
          <w:spacing w:val="8"/>
          <w:sz w:val="28"/>
          <w:szCs w:val="28"/>
        </w:rPr>
      </w:pPr>
      <w:r>
        <w:rPr>
          <w:rFonts w:ascii="Times New Roman" w:hAnsi="Times New Roman"/>
          <w:spacing w:val="8"/>
          <w:sz w:val="28"/>
          <w:szCs w:val="28"/>
        </w:rPr>
        <w:t xml:space="preserve">Відповідно до п. 20 ч. 4 ст. 42, ст. 50 Закону України «Про місцеве самоврядування в Україні»</w:t>
      </w:r>
      <w:r>
        <w:rPr>
          <w:rFonts w:ascii="Times New Roman" w:hAnsi="Times New Roman"/>
          <w:spacing w:val="-6"/>
          <w:sz w:val="28"/>
          <w:szCs w:val="28"/>
        </w:rPr>
        <w:t xml:space="preserve">, постанови Кабінету Міністрів України від 04.12.2019</w:t>
      </w:r>
      <w:r>
        <w:rPr>
          <w:rFonts w:ascii="Times New Roman" w:hAnsi="Times New Roman"/>
          <w:spacing w:val="3"/>
          <w:sz w:val="28"/>
          <w:szCs w:val="28"/>
        </w:rPr>
        <w:t xml:space="preserve"> № 1070 «Деякі питання здійснення розпорядниками (одержувачами) бюджетних коштів попередньої оплати товарів, робіт і послуг, що закуповуються за бюджетні кошти»</w:t>
      </w:r>
      <w:r>
        <w:rPr>
          <w:rFonts w:ascii="Times New Roman" w:hAnsi="Times New Roman"/>
          <w:spacing w:val="8"/>
          <w:sz w:val="28"/>
          <w:szCs w:val="28"/>
        </w:rPr>
        <w:t xml:space="preserve">:</w:t>
      </w:r>
      <w:r>
        <w:rPr>
          <w:rFonts w:ascii="Times New Roman" w:hAnsi="Times New Roman"/>
          <w:spacing w:val="8"/>
          <w:sz w:val="28"/>
          <w:szCs w:val="28"/>
        </w:rPr>
      </w:r>
      <w:r>
        <w:rPr>
          <w:rFonts w:ascii="Times New Roman" w:hAnsi="Times New Roman"/>
          <w:spacing w:val="8"/>
          <w:sz w:val="28"/>
          <w:szCs w:val="28"/>
        </w:rPr>
      </w:r>
    </w:p>
    <w:p>
      <w:pPr>
        <w:pStyle w:val="940"/>
        <w:pBdr/>
        <w:spacing/>
        <w:ind w:right="0" w:firstLine="567" w:left="0"/>
        <w:jc w:val="both"/>
        <w:rPr>
          <w:rFonts w:ascii="Times New Roman" w:hAnsi="Times New Roman"/>
          <w:spacing w:val="3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Установити, що розпорядники </w:t>
      </w:r>
      <w:r>
        <w:rPr>
          <w:rFonts w:ascii="Times New Roman" w:hAnsi="Times New Roman"/>
          <w:sz w:val="28"/>
          <w:szCs w:val="28"/>
          <w:lang w:val="ru-RU"/>
        </w:rPr>
        <w:t xml:space="preserve">(</w:t>
      </w:r>
      <w:r>
        <w:rPr>
          <w:rFonts w:ascii="Times New Roman" w:hAnsi="Times New Roman"/>
          <w:sz w:val="28"/>
          <w:szCs w:val="28"/>
        </w:rPr>
        <w:t xml:space="preserve">одержувачі</w:t>
      </w:r>
      <w:r>
        <w:rPr>
          <w:rFonts w:ascii="Times New Roman" w:hAnsi="Times New Roman"/>
          <w:sz w:val="28"/>
          <w:szCs w:val="28"/>
          <w:lang w:val="ru-RU"/>
        </w:rPr>
        <w:t xml:space="preserve">) </w:t>
      </w:r>
      <w:r>
        <w:rPr>
          <w:rFonts w:ascii="Times New Roman" w:hAnsi="Times New Roman"/>
          <w:sz w:val="28"/>
          <w:szCs w:val="28"/>
        </w:rPr>
        <w:t xml:space="preserve">бюджетних коштів у договорах про закупівлю товарів, робіт і послуг за бюджетні кошти можуть передбачати попередню оплату у розмірі 30 відсотків від суми договору в разі закупівлі:</w:t>
      </w:r>
      <w:r>
        <w:rPr>
          <w:rFonts w:ascii="Times New Roman" w:hAnsi="Times New Roman"/>
          <w:spacing w:val="3"/>
          <w:sz w:val="28"/>
          <w:szCs w:val="28"/>
        </w:rPr>
      </w:r>
      <w:r>
        <w:rPr>
          <w:rFonts w:ascii="Times New Roman" w:hAnsi="Times New Roman"/>
          <w:spacing w:val="3"/>
          <w:sz w:val="28"/>
          <w:szCs w:val="28"/>
        </w:rPr>
      </w:r>
    </w:p>
    <w:p>
      <w:pPr>
        <w:pStyle w:val="940"/>
        <w:pBdr/>
        <w:spacing/>
        <w:ind w:firstLine="708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3"/>
          <w:sz w:val="28"/>
          <w:szCs w:val="28"/>
        </w:rPr>
        <w:t xml:space="preserve">1) товарів, робіт і послуг за поточними видатками - на строк не більше трьох місяців</w:t>
      </w:r>
      <w:r>
        <w:rPr>
          <w:rFonts w:ascii="Times New Roman" w:hAnsi="Times New Roman"/>
          <w:spacing w:val="-6"/>
          <w:sz w:val="28"/>
          <w:szCs w:val="28"/>
        </w:rPr>
        <w:t xml:space="preserve">;</w:t>
      </w:r>
      <w:r>
        <w:rPr>
          <w:rFonts w:ascii="Times New Roman" w:hAnsi="Times New Roman"/>
          <w:spacing w:val="-6"/>
          <w:sz w:val="28"/>
          <w:szCs w:val="28"/>
        </w:rPr>
      </w:r>
      <w:r>
        <w:rPr>
          <w:rFonts w:ascii="Times New Roman" w:hAnsi="Times New Roman"/>
          <w:spacing w:val="-6"/>
          <w:sz w:val="28"/>
          <w:szCs w:val="28"/>
        </w:rPr>
      </w:r>
    </w:p>
    <w:p>
      <w:pPr>
        <w:pStyle w:val="940"/>
        <w:pBdr/>
        <w:spacing/>
        <w:ind w:firstLine="708"/>
        <w:jc w:val="both"/>
        <w:rPr>
          <w:rFonts w:ascii="Times New Roman" w:hAnsi="Times New Roman" w:cs="Times New Roman"/>
          <w:spacing w:val="8"/>
          <w:sz w:val="28"/>
          <w:szCs w:val="28"/>
        </w:rPr>
      </w:pPr>
      <w:r>
        <w:rPr>
          <w:rFonts w:ascii="Times New Roman" w:hAnsi="Times New Roman"/>
          <w:spacing w:val="3"/>
          <w:sz w:val="28"/>
          <w:szCs w:val="28"/>
        </w:rPr>
        <w:t xml:space="preserve">2) товарів, робіт і послуг за капітальними видатками за рахунок коштів Менської міської територіальної громади та субвенцій з державного бюджету, періодичних видань </w:t>
      </w:r>
      <w:r>
        <w:rPr>
          <w:rFonts w:ascii="Times New Roman" w:hAnsi="Times New Roman" w:cs="Times New Roman"/>
          <w:spacing w:val="3"/>
          <w:sz w:val="28"/>
          <w:szCs w:val="28"/>
        </w:rPr>
        <w:t xml:space="preserve">- </w:t>
      </w:r>
      <w:r>
        <w:rPr>
          <w:rFonts w:ascii="Times New Roman" w:hAnsi="Times New Roman" w:cs="Times New Roman"/>
          <w:spacing w:val="8"/>
          <w:sz w:val="28"/>
          <w:szCs w:val="28"/>
        </w:rPr>
        <w:t xml:space="preserve">на строк не більше 12 місяців, </w:t>
      </w:r>
      <w:r>
        <w:rPr>
          <w:rFonts w:ascii="Times New Roman" w:hAnsi="Times New Roman" w:cs="Times New Roman"/>
          <w:spacing w:val="8"/>
          <w:sz w:val="28"/>
          <w:szCs w:val="28"/>
        </w:rPr>
      </w:r>
      <w:r>
        <w:rPr>
          <w:rFonts w:ascii="Times New Roman" w:hAnsi="Times New Roman" w:cs="Times New Roman"/>
          <w:spacing w:val="8"/>
          <w:sz w:val="28"/>
          <w:szCs w:val="28"/>
        </w:rPr>
      </w:r>
    </w:p>
    <w:p>
      <w:pPr>
        <w:pStyle w:val="940"/>
        <w:pBdr/>
        <w:spacing/>
        <w:ind w:right="0" w:firstLine="567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pacing w:val="8"/>
          <w:sz w:val="28"/>
          <w:szCs w:val="28"/>
        </w:rPr>
        <w:t xml:space="preserve">2.</w:t>
      </w:r>
      <w:r>
        <w:rPr>
          <w:rFonts w:ascii="Times New Roman" w:hAnsi="Times New Roman"/>
          <w:sz w:val="28"/>
          <w:szCs w:val="28"/>
        </w:rPr>
        <w:t xml:space="preserve">Установити, що розпорядники </w:t>
      </w:r>
      <w:r>
        <w:rPr>
          <w:rFonts w:ascii="Times New Roman" w:hAnsi="Times New Roman"/>
          <w:sz w:val="28"/>
          <w:szCs w:val="28"/>
          <w:lang w:val="ru-RU"/>
        </w:rPr>
        <w:t xml:space="preserve">(</w:t>
      </w:r>
      <w:r>
        <w:rPr>
          <w:rFonts w:ascii="Times New Roman" w:hAnsi="Times New Roman"/>
          <w:sz w:val="28"/>
          <w:szCs w:val="28"/>
        </w:rPr>
        <w:t xml:space="preserve">одержувачі</w:t>
      </w:r>
      <w:r>
        <w:rPr>
          <w:rFonts w:ascii="Times New Roman" w:hAnsi="Times New Roman"/>
          <w:sz w:val="28"/>
          <w:szCs w:val="28"/>
          <w:lang w:val="ru-RU"/>
        </w:rPr>
        <w:t xml:space="preserve">) </w:t>
      </w:r>
      <w:r>
        <w:rPr>
          <w:rFonts w:ascii="Times New Roman" w:hAnsi="Times New Roman"/>
          <w:sz w:val="28"/>
          <w:szCs w:val="28"/>
        </w:rPr>
        <w:t xml:space="preserve">бюджетних коштів у договорах про закупівлю товарів і послуг за бюджетні кошти можуть передбачати попередню оплату у розмірі 100 відсотків від суми договору: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0"/>
        <w:pBdr/>
        <w:spacing/>
        <w:ind w:right="0" w:firstLine="567" w:left="0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1)</w:t>
      </w:r>
      <w:r>
        <w:rPr>
          <w:rFonts w:ascii="Times New Roman" w:hAnsi="Times New Roman" w:cs="Times New Roman"/>
          <w:spacing w:val="8"/>
          <w:sz w:val="28"/>
          <w:szCs w:val="28"/>
        </w:rPr>
        <w:t xml:space="preserve"> яка підлягає сплаті за договорами закупівлі періодичних видань, поштової продукції</w:t>
      </w:r>
      <w:r>
        <w:rPr>
          <w:rFonts w:ascii="Times New Roman" w:hAnsi="Times New Roman" w:cs="Times New Roman"/>
          <w:spacing w:val="3"/>
          <w:sz w:val="28"/>
          <w:szCs w:val="28"/>
        </w:rPr>
        <w:t xml:space="preserve">;</w:t>
      </w:r>
      <w:r>
        <w:rPr>
          <w:rFonts w:ascii="Times New Roman" w:hAnsi="Times New Roman" w:cs="Times New Roman"/>
          <w:spacing w:val="3"/>
          <w:sz w:val="28"/>
          <w:szCs w:val="28"/>
        </w:rPr>
      </w:r>
      <w:r>
        <w:rPr>
          <w:rFonts w:ascii="Times New Roman" w:hAnsi="Times New Roman" w:cs="Times New Roman"/>
          <w:spacing w:val="3"/>
          <w:sz w:val="28"/>
          <w:szCs w:val="28"/>
        </w:rPr>
      </w:r>
    </w:p>
    <w:p>
      <w:pPr>
        <w:pStyle w:val="940"/>
        <w:pBdr/>
        <w:spacing/>
        <w:ind w:right="0" w:firstLine="567" w:left="0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>
        <w:rPr>
          <w:rFonts w:ascii="Times New Roman" w:hAnsi="Times New Roman" w:cs="Times New Roman"/>
          <w:spacing w:val="3"/>
          <w:sz w:val="28"/>
          <w:szCs w:val="28"/>
        </w:rPr>
        <w:t xml:space="preserve">2) яка підлягає сплаті за стандартне/нестандартне приєднання до електричних мереж системи розподілу АТ «Чернігіобленерго».</w:t>
      </w:r>
      <w:r>
        <w:rPr>
          <w:rFonts w:ascii="Times New Roman" w:hAnsi="Times New Roman" w:cs="Times New Roman"/>
          <w:spacing w:val="3"/>
          <w:sz w:val="28"/>
          <w:szCs w:val="28"/>
        </w:rPr>
      </w:r>
      <w:r>
        <w:rPr>
          <w:rFonts w:ascii="Times New Roman" w:hAnsi="Times New Roman" w:cs="Times New Roman"/>
          <w:spacing w:val="3"/>
          <w:sz w:val="28"/>
          <w:szCs w:val="28"/>
        </w:rPr>
      </w:r>
    </w:p>
    <w:p>
      <w:pPr>
        <w:pStyle w:val="949"/>
        <w:pBdr/>
        <w:shd w:val="clear" w:color="auto" w:fill="auto"/>
        <w:spacing w:after="0" w:before="0" w:line="240" w:lineRule="auto"/>
        <w:ind w:right="-8" w:firstLine="567"/>
        <w:jc w:val="both"/>
        <w:rPr>
          <w:spacing w:val="8"/>
          <w:lang w:val="ru-RU"/>
        </w:rPr>
      </w:pPr>
      <w:r>
        <w:rPr>
          <w:rFonts w:cs="Times New Roman"/>
          <w:spacing w:val="3"/>
          <w:lang w:val="ru-RU"/>
        </w:rPr>
        <w:t xml:space="preserve">3. </w:t>
      </w:r>
      <w:r>
        <w:rPr>
          <w:spacing w:val="8"/>
          <w:lang w:val="ru-RU"/>
        </w:rPr>
        <w:t xml:space="preserve">Для проведення розрахунків за природний газ відповідно до укладених договорів постачання природного газу між  товариством з обмеженою відповідальністю «Газопостачальна компанія </w:t>
      </w:r>
      <w:r>
        <w:rPr>
          <w:spacing w:val="8"/>
          <w:lang w:val="ru-RU"/>
        </w:rPr>
        <w:t xml:space="preserve">«Нафтогаз Трейдинг» та бюджетними установами, комунальними некомерційними підприємствами та комунальними установами, підприємствами Менської міської ради у розмірі 100 відсотків планової вартості природного газу за грудень 2024 року терміном на три місяці.</w:t>
      </w:r>
      <w:r>
        <w:rPr>
          <w:spacing w:val="8"/>
          <w:lang w:val="ru-RU"/>
        </w:rPr>
      </w:r>
      <w:r>
        <w:rPr>
          <w:spacing w:val="8"/>
          <w:lang w:val="ru-RU"/>
        </w:rPr>
      </w:r>
    </w:p>
    <w:p>
      <w:pPr>
        <w:pStyle w:val="940"/>
        <w:pBdr/>
        <w:spacing/>
        <w:ind w:right="0" w:firstLine="567" w:left="0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4. На керівників головних розпорядників коштів, розпорядників третього рівня, одержувачів бюджетних коштів Менської міської територіальної гр</w:t>
      </w:r>
      <w:r>
        <w:rPr>
          <w:rFonts w:ascii="Times New Roman" w:hAnsi="Times New Roman"/>
          <w:sz w:val="28"/>
          <w:szCs w:val="28"/>
        </w:rPr>
        <w:t xml:space="preserve">омади покласти відповідальність за прийняте рішення щодо проведення попередньої оплати товарів, робіт та послуг за бюджетні кошти, забезпечивши ефективне, результативне і цільове використання бюджетних коштів відповідно до вимог Бюджетного кодексу України.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0"/>
        <w:pBdr/>
        <w:spacing/>
        <w:ind w:right="0" w:firstLine="567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49"/>
        <w:pBdr/>
        <w:shd w:val="clear" w:color="auto" w:fill="auto"/>
        <w:spacing w:after="0" w:before="0" w:line="240" w:lineRule="auto"/>
        <w:ind w:right="-6" w:firstLine="567"/>
        <w:jc w:val="both"/>
        <w:rPr>
          <w:rFonts w:eastAsia="Microsoft Sans Serif"/>
          <w:lang w:val="uk-UA" w:eastAsia="uk-UA" w:bidi="uk-UA"/>
        </w:rPr>
      </w:pPr>
      <w:r>
        <w:rPr>
          <w:lang w:val="uk-UA"/>
        </w:rPr>
        <w:t xml:space="preserve">5. Визнати таким, що втратило чинність, розпорядження міського голови  від </w:t>
      </w:r>
      <w:r>
        <w:rPr>
          <w:lang w:val="uk-UA"/>
        </w:rPr>
        <w:t xml:space="preserve">13</w:t>
      </w:r>
      <w:r>
        <w:rPr>
          <w:lang w:val="uk-UA"/>
        </w:rPr>
        <w:t xml:space="preserve"> </w:t>
      </w:r>
      <w:r>
        <w:rPr>
          <w:lang w:val="uk-UA"/>
        </w:rPr>
        <w:t xml:space="preserve">груд</w:t>
      </w:r>
      <w:r>
        <w:rPr>
          <w:lang w:val="uk-UA"/>
        </w:rPr>
        <w:t xml:space="preserve">ня 202</w:t>
      </w:r>
      <w:r>
        <w:rPr>
          <w:lang w:val="uk-UA"/>
        </w:rPr>
        <w:t xml:space="preserve">4</w:t>
      </w:r>
      <w:r>
        <w:rPr>
          <w:lang w:val="uk-UA"/>
        </w:rPr>
        <w:t xml:space="preserve"> року № </w:t>
      </w:r>
      <w:r>
        <w:rPr>
          <w:lang w:val="uk-UA"/>
        </w:rPr>
        <w:t xml:space="preserve">392</w:t>
      </w:r>
      <w:r>
        <w:rPr>
          <w:lang w:val="uk-UA"/>
        </w:rPr>
        <w:t xml:space="preserve"> «</w:t>
      </w:r>
      <w:r>
        <w:rPr>
          <w:bCs/>
          <w:lang w:val="uk-UA"/>
        </w:rPr>
        <w:t xml:space="preserve">Про здійснення розпорядниками (одержувачами) бюджетних коштів попередньої оплати товарів, робіт і послуг, що закуповуються </w:t>
      </w:r>
      <w:r>
        <w:rPr>
          <w:bCs/>
          <w:lang w:val="uk-UA"/>
        </w:rPr>
        <w:t xml:space="preserve">за бюджетні кошти по Менській міській раді».</w:t>
      </w:r>
      <w:r>
        <w:rPr>
          <w:rFonts w:eastAsia="Microsoft Sans Serif"/>
          <w:lang w:val="uk-UA" w:eastAsia="uk-UA" w:bidi="uk-UA"/>
        </w:rPr>
        <w:t xml:space="preserve"> </w:t>
      </w:r>
      <w:r>
        <w:rPr>
          <w:rFonts w:eastAsia="Microsoft Sans Serif"/>
          <w:lang w:val="uk-UA" w:eastAsia="uk-UA" w:bidi="uk-UA"/>
        </w:rPr>
      </w:r>
      <w:r>
        <w:rPr>
          <w:rFonts w:eastAsia="Microsoft Sans Serif"/>
          <w:lang w:val="uk-UA" w:eastAsia="uk-UA" w:bidi="uk-UA"/>
        </w:rPr>
      </w:r>
    </w:p>
    <w:p>
      <w:pPr>
        <w:pStyle w:val="940"/>
        <w:pBdr/>
        <w:spacing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  Контроль за виконанням розпорядження покласти на заступника міського голови з питань діяльності виконавчих органів ради Гаєвого С.М.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49"/>
        <w:pBdr/>
        <w:shd w:val="clear" w:color="auto" w:fill="auto"/>
        <w:tabs>
          <w:tab w:val="left" w:leader="none" w:pos="709"/>
          <w:tab w:val="left" w:leader="none" w:pos="7087"/>
        </w:tabs>
        <w:spacing w:after="0" w:before="0" w:line="240" w:lineRule="auto"/>
        <w:ind/>
        <w:jc w:val="left"/>
        <w:rPr>
          <w:b/>
          <w:bCs/>
          <w:lang w:val="ru-RU"/>
        </w:rPr>
      </w:pPr>
      <w:r>
        <w:rPr>
          <w:b/>
          <w:bCs/>
          <w:lang w:val="ru-RU"/>
        </w:rPr>
      </w:r>
      <w:r>
        <w:rPr>
          <w:b/>
          <w:bCs/>
          <w:lang w:val="ru-RU"/>
        </w:rPr>
      </w:r>
      <w:r>
        <w:rPr>
          <w:b/>
          <w:bCs/>
          <w:lang w:val="ru-RU"/>
        </w:rPr>
      </w:r>
    </w:p>
    <w:p>
      <w:pPr>
        <w:pStyle w:val="949"/>
        <w:pBdr/>
        <w:shd w:val="clear" w:color="auto" w:fill="auto"/>
        <w:tabs>
          <w:tab w:val="left" w:leader="none" w:pos="709"/>
          <w:tab w:val="left" w:leader="none" w:pos="7087"/>
        </w:tabs>
        <w:spacing w:after="0" w:before="0" w:line="240" w:lineRule="auto"/>
        <w:ind/>
        <w:jc w:val="left"/>
        <w:rPr>
          <w:b/>
          <w:bCs/>
          <w:lang w:val="ru-RU"/>
        </w:rPr>
      </w:pPr>
      <w:r>
        <w:rPr>
          <w:b/>
          <w:bCs/>
          <w:lang w:val="ru-RU"/>
        </w:rPr>
      </w:r>
      <w:r>
        <w:rPr>
          <w:b/>
          <w:bCs/>
          <w:lang w:val="ru-RU"/>
        </w:rPr>
      </w:r>
      <w:r>
        <w:rPr>
          <w:b/>
          <w:bCs/>
          <w:lang w:val="ru-RU"/>
        </w:rPr>
      </w:r>
    </w:p>
    <w:p>
      <w:pPr>
        <w:pStyle w:val="949"/>
        <w:pBdr/>
        <w:shd w:val="clear" w:color="auto" w:fill="auto"/>
        <w:tabs>
          <w:tab w:val="left" w:leader="none" w:pos="709"/>
          <w:tab w:val="left" w:leader="none" w:pos="6520"/>
        </w:tabs>
        <w:spacing w:after="0" w:before="0" w:line="240" w:lineRule="auto"/>
        <w:ind/>
        <w:jc w:val="left"/>
        <w:rPr>
          <w:b/>
          <w:bCs/>
          <w:lang w:val="uk-UA"/>
        </w:rPr>
      </w:pPr>
      <w:r>
        <w:rPr>
          <w:lang w:val="uk-UA"/>
        </w:rPr>
        <w:t xml:space="preserve">Секретар ради</w:t>
        <w:tab/>
        <w:t xml:space="preserve">Юрій СТАЛЬНИЧЕНКО</w:t>
      </w:r>
      <w:r>
        <w:rPr>
          <w:b/>
          <w:bCs/>
          <w:lang w:val="uk-UA"/>
        </w:rPr>
      </w:r>
      <w:r>
        <w:rPr>
          <w:b/>
          <w:bCs/>
          <w:lang w:val="uk-UA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40" w:orient="portrait" w:w="11900"/>
      <w:pgMar w:top="1134" w:right="567" w:bottom="824" w:left="1701" w:header="0" w:footer="3" w:gutter="0"/>
      <w:cols w:num="1" w:sep="0" w:space="720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Microsoft Sans Serif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8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6"/>
      <w:pBdr/>
      <w:spacing/>
      <w:ind/>
      <w:jc w:val="center"/>
      <w:rPr/>
    </w:pPr>
    <w:r>
      <w:rPr>
        <w:highlight w:val="none"/>
      </w:rPr>
    </w:r>
    <w:r>
      <w:rPr>
        <w:highlight w:val="none"/>
      </w:rPr>
    </w:r>
    <w:r/>
  </w:p>
  <w:p>
    <w:pPr>
      <w:pStyle w:val="796"/>
      <w:pBdr/>
      <w:spacing/>
      <w:ind/>
      <w:jc w:val="center"/>
      <w:rPr>
        <w:highlight w:val="none"/>
      </w:rPr>
    </w:pPr>
    <w:r>
      <w:rPr>
        <w:highlight w:val="none"/>
      </w:rPr>
    </w:r>
    <w:r>
      <w:rPr>
        <w:highlight w:val="none"/>
      </w:rPr>
    </w:r>
    <w:r>
      <w:rPr>
        <w:highlight w:val="none"/>
      </w:rPr>
    </w:r>
  </w:p>
  <w:p>
    <w:pPr>
      <w:pStyle w:val="796"/>
      <w:pBdr/>
      <w:spacing/>
      <w:ind/>
      <w:jc w:val="center"/>
      <w:rPr>
        <w:highlight w:val="none"/>
      </w:rPr>
    </w:pPr>
    <w:r>
      <w:fldChar w:fldCharType="begin"/>
    </w:r>
    <w:r>
      <w:instrText xml:space="preserve">PAGE \* MERGEFORMAT</w:instrText>
    </w:r>
    <w:r>
      <w:fldChar w:fldCharType="separate"/>
    </w:r>
    <w:r>
      <w:t xml:space="preserve">1</w:t>
    </w:r>
    <w:r>
      <w:fldChar w:fldCharType="end"/>
    </w:r>
    <w:r>
      <w:rPr>
        <w:highlight w:val="none"/>
      </w:rPr>
    </w:r>
  </w:p>
  <w:p>
    <w:pPr>
      <w:pStyle w:val="796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6"/>
      <w:pBdr/>
      <w:spacing/>
      <w:ind/>
      <w:rPr/>
    </w:pPr>
    <w:r/>
    <w:r/>
  </w:p>
  <w:p>
    <w:pPr>
      <w:pStyle w:val="796"/>
      <w:pBdr/>
      <w:spacing/>
      <w:ind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47675" cy="619125"/>
              <wp:effectExtent l="0" t="0" r="0" b="0"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77434175" name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47674" cy="61912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5.25pt;height:48.75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uk-UA" w:eastAsia="uk-UA" w:bidi="uk-UA"/>
      </w:rPr>
      <w:start w:val="4"/>
      <w:suff w:val="tab"/>
    </w:lvl>
    <w:lvl w:ilvl="1">
      <w:isLgl w:val="false"/>
      <w:lvlJc w:val="left"/>
      <w:lvlText w:val="%1.%2"/>
      <w:numFmt w:val="decimal"/>
      <w:pPr>
        <w:pBdr/>
        <w:spacing/>
        <w:ind/>
      </w:pPr>
      <w:rPr>
        <w:rFonts w:ascii="Times New Roman" w:hAnsi="Times New Roman" w:eastAsia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uk-UA" w:eastAsia="uk-UA" w:bidi="uk-UA"/>
      </w:rPr>
      <w:start w:val="1"/>
      <w:suff w:val="tab"/>
    </w:lvl>
    <w:lvl w:ilvl="2">
      <w:isLgl w:val="false"/>
      <w:lvlJc w:val="left"/>
      <w:lvlText w:val="%1.%2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%1.%2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%1.%2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%1.%2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%1.%2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%1.%2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%1.%2"/>
      <w:numFmt w:val="decimal"/>
      <w:pPr>
        <w:pBdr/>
        <w:spacing/>
        <w:ind/>
      </w:pPr>
      <w:rPr/>
      <w:start w:val="0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uk-UA" w:eastAsia="uk-UA" w:bidi="uk-UA"/>
      </w:rPr>
      <w:start w:val="7"/>
      <w:suff w:val="tab"/>
    </w:lvl>
    <w:lvl w:ilvl="1">
      <w:isLgl w:val="false"/>
      <w:lvlJc w:val="left"/>
      <w:lvlText w:val="%1.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%1.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%1.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%1.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%1.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%1.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%1.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%1."/>
      <w:numFmt w:val="decimal"/>
      <w:pPr>
        <w:pBdr/>
        <w:spacing/>
        <w:ind/>
      </w:pPr>
      <w:rPr/>
      <w:start w:val="0"/>
      <w:suff w:val="tab"/>
    </w:lvl>
  </w:abstractNum>
  <w:abstractNum w:abstractNumId="2">
    <w:lvl w:ilvl="0">
      <w:isLgl w:val="false"/>
      <w:lvlJc w:val="left"/>
      <w:lvlText w:val="3.%1"/>
      <w:numFmt w:val="decimal"/>
      <w:pPr>
        <w:pBdr/>
        <w:spacing/>
        <w:ind/>
      </w:pPr>
      <w:rPr>
        <w:rFonts w:ascii="Times New Roman" w:hAnsi="Times New Roman" w:eastAsia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uk-UA" w:eastAsia="uk-UA" w:bidi="uk-UA"/>
      </w:rPr>
      <w:start w:val="1"/>
      <w:suff w:val="tab"/>
    </w:lvl>
    <w:lvl w:ilvl="1">
      <w:isLgl w:val="false"/>
      <w:lvlJc w:val="left"/>
      <w:lvlText w:val="3.%1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3.%1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3.%1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3.%1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3.%1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3.%1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3.%1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3.%1"/>
      <w:numFmt w:val="decimal"/>
      <w:pPr>
        <w:pBdr/>
        <w:spacing/>
        <w:ind/>
      </w:pPr>
      <w:rPr/>
      <w:start w:val="0"/>
      <w:suff w:val="tab"/>
    </w:lvl>
  </w:abstractNum>
  <w:abstractNum w:abstractNumId="3">
    <w:lvl w:ilvl="0">
      <w:isLgl w:val="false"/>
      <w:lvlJc w:val="left"/>
      <w:lvlText w:val="10.%1"/>
      <w:numFmt w:val="decimal"/>
      <w:pPr>
        <w:pBdr/>
        <w:spacing/>
        <w:ind/>
      </w:pPr>
      <w:rPr>
        <w:rFonts w:ascii="Times New Roman" w:hAnsi="Times New Roman" w:eastAsia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uk-UA" w:eastAsia="uk-UA" w:bidi="uk-UA"/>
      </w:rPr>
      <w:start w:val="3"/>
      <w:suff w:val="tab"/>
    </w:lvl>
    <w:lvl w:ilvl="1">
      <w:isLgl w:val="false"/>
      <w:lvlJc w:val="left"/>
      <w:lvlText w:val="10.%1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10.%1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10.%1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10.%1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10.%1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10.%1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10.%1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10.%1"/>
      <w:numFmt w:val="decimal"/>
      <w:pPr>
        <w:pBdr/>
        <w:spacing/>
        <w:ind/>
      </w:pPr>
      <w:rPr/>
      <w:start w:val="0"/>
      <w:suff w:val="tab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Microsoft Sans Serif" w:hAnsi="Microsoft Sans Serif" w:eastAsia="Microsoft Sans Serif" w:cs="Microsoft Sans Serif"/>
        <w:szCs w:val="22"/>
        <w:lang w:val="uk-UA" w:eastAsia="en-US" w:bidi="en-US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7">
    <w:name w:val="Endnote Text Char"/>
    <w:basedOn w:val="748"/>
    <w:link w:val="772"/>
    <w:uiPriority w:val="99"/>
    <w:semiHidden/>
    <w:pPr>
      <w:pBdr/>
      <w:spacing/>
      <w:ind/>
    </w:pPr>
    <w:rPr>
      <w:sz w:val="20"/>
      <w:szCs w:val="20"/>
    </w:rPr>
  </w:style>
  <w:style w:type="paragraph" w:styleId="738" w:default="1">
    <w:name w:val="Normal"/>
    <w:qFormat/>
    <w:pPr>
      <w:pBdr/>
      <w:spacing/>
      <w:ind/>
    </w:pPr>
  </w:style>
  <w:style w:type="paragraph" w:styleId="739">
    <w:name w:val="Heading 1"/>
    <w:basedOn w:val="940"/>
    <w:next w:val="940"/>
    <w:link w:val="957"/>
    <w:pPr>
      <w:keepNext w:val="true"/>
      <w:widowControl w:val="true"/>
      <w:pBdr/>
      <w:spacing/>
      <w:ind/>
      <w:jc w:val="center"/>
      <w:outlineLvl w:val="0"/>
    </w:pPr>
    <w:rPr>
      <w:rFonts w:ascii="Times New Roman" w:hAnsi="Times New Roman" w:eastAsia="Times New Roman"/>
      <w:sz w:val="32"/>
      <w:szCs w:val="20"/>
      <w:lang w:val="ru-RU" w:eastAsia="ru-RU" w:bidi="ar-SA"/>
    </w:rPr>
  </w:style>
  <w:style w:type="paragraph" w:styleId="740">
    <w:name w:val="Heading 2"/>
    <w:basedOn w:val="940"/>
    <w:next w:val="940"/>
    <w:link w:val="958"/>
    <w:semiHidden/>
    <w:pPr>
      <w:keepNext w:val="true"/>
      <w:widowControl w:val="true"/>
      <w:pBdr/>
      <w:spacing/>
      <w:ind/>
      <w:jc w:val="center"/>
      <w:outlineLvl w:val="1"/>
    </w:pPr>
    <w:rPr>
      <w:rFonts w:ascii="Times New Roman" w:hAnsi="Times New Roman" w:eastAsia="Times New Roman"/>
      <w:b/>
      <w:sz w:val="28"/>
      <w:szCs w:val="20"/>
      <w:lang w:eastAsia="ru-RU" w:bidi="ar-SA"/>
    </w:rPr>
  </w:style>
  <w:style w:type="paragraph" w:styleId="741">
    <w:name w:val="Heading 3"/>
    <w:basedOn w:val="940"/>
    <w:next w:val="940"/>
    <w:link w:val="959"/>
    <w:pPr>
      <w:keepNext w:val="true"/>
      <w:widowControl w:val="true"/>
      <w:pBdr/>
      <w:spacing/>
      <w:ind/>
      <w:jc w:val="center"/>
      <w:outlineLvl w:val="2"/>
    </w:pPr>
    <w:rPr>
      <w:rFonts w:ascii="Times New Roman" w:hAnsi="Times New Roman" w:eastAsia="Times New Roman"/>
      <w:b/>
      <w:sz w:val="32"/>
      <w:szCs w:val="20"/>
      <w:lang w:eastAsia="ru-RU" w:bidi="ar-SA"/>
    </w:rPr>
  </w:style>
  <w:style w:type="paragraph" w:styleId="742">
    <w:name w:val="Heading 4"/>
    <w:link w:val="78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43">
    <w:name w:val="Heading 5"/>
    <w:link w:val="781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44">
    <w:name w:val="Heading 6"/>
    <w:link w:val="78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</w:rPr>
  </w:style>
  <w:style w:type="paragraph" w:styleId="745">
    <w:name w:val="Heading 7"/>
    <w:link w:val="78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</w:rPr>
  </w:style>
  <w:style w:type="paragraph" w:styleId="746">
    <w:name w:val="Heading 8"/>
    <w:link w:val="784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</w:rPr>
  </w:style>
  <w:style w:type="paragraph" w:styleId="747">
    <w:name w:val="Heading 9"/>
    <w:link w:val="785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8" w:default="1">
    <w:name w:val="Default Paragraph Font"/>
    <w:uiPriority w:val="1"/>
    <w:semiHidden/>
    <w:unhideWhenUsed/>
    <w:pPr>
      <w:pBdr/>
      <w:spacing/>
      <w:ind/>
    </w:pPr>
  </w:style>
  <w:style w:type="table" w:styleId="74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50" w:default="1">
    <w:name w:val="No List"/>
    <w:uiPriority w:val="99"/>
    <w:semiHidden/>
    <w:unhideWhenUsed/>
    <w:pPr>
      <w:pBdr/>
      <w:spacing/>
      <w:ind/>
    </w:pPr>
  </w:style>
  <w:style w:type="character" w:styleId="751" w:customStyle="1">
    <w:name w:val="Heading 4 Char"/>
    <w:basedOn w:val="748"/>
    <w:uiPriority w:val="9"/>
    <w:pPr>
      <w:pBdr/>
      <w:spacing/>
      <w:ind/>
    </w:pPr>
    <w:rPr>
      <w:rFonts w:ascii="Arial" w:hAnsi="Arial" w:eastAsia="Arial" w:cs="Arial"/>
      <w:i/>
      <w:iCs/>
      <w:color w:val="365f91" w:themeColor="accent1" w:themeShade="BF"/>
    </w:rPr>
  </w:style>
  <w:style w:type="character" w:styleId="752" w:customStyle="1">
    <w:name w:val="Heading 5 Char"/>
    <w:basedOn w:val="748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</w:rPr>
  </w:style>
  <w:style w:type="character" w:styleId="753" w:customStyle="1">
    <w:name w:val="Heading 6 Char"/>
    <w:basedOn w:val="74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54" w:customStyle="1">
    <w:name w:val="Heading 7 Char"/>
    <w:basedOn w:val="748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55" w:customStyle="1">
    <w:name w:val="Heading 8 Char"/>
    <w:basedOn w:val="74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56" w:customStyle="1">
    <w:name w:val="Heading 9 Char"/>
    <w:basedOn w:val="74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57" w:customStyle="1">
    <w:name w:val="Title Char"/>
    <w:basedOn w:val="74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58" w:customStyle="1">
    <w:name w:val="Subtitle Char"/>
    <w:basedOn w:val="74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59" w:customStyle="1">
    <w:name w:val="Quote Char"/>
    <w:basedOn w:val="748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60">
    <w:name w:val="Intense Emphasis"/>
    <w:basedOn w:val="748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character" w:styleId="761" w:customStyle="1">
    <w:name w:val="Intense Quote Char"/>
    <w:basedOn w:val="748"/>
    <w:uiPriority w:val="30"/>
    <w:pPr>
      <w:pBdr/>
      <w:spacing/>
      <w:ind/>
    </w:pPr>
    <w:rPr>
      <w:i/>
      <w:iCs/>
      <w:color w:val="365f91" w:themeColor="accent1" w:themeShade="BF"/>
    </w:rPr>
  </w:style>
  <w:style w:type="character" w:styleId="762">
    <w:name w:val="Intense Reference"/>
    <w:basedOn w:val="748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character" w:styleId="763">
    <w:name w:val="Subtle Emphasis"/>
    <w:basedOn w:val="7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64">
    <w:name w:val="Emphasis"/>
    <w:basedOn w:val="748"/>
    <w:uiPriority w:val="20"/>
    <w:qFormat/>
    <w:pPr>
      <w:pBdr/>
      <w:spacing/>
      <w:ind/>
    </w:pPr>
    <w:rPr>
      <w:i/>
      <w:iCs/>
    </w:rPr>
  </w:style>
  <w:style w:type="character" w:styleId="765">
    <w:name w:val="Strong"/>
    <w:basedOn w:val="748"/>
    <w:uiPriority w:val="22"/>
    <w:qFormat/>
    <w:pPr>
      <w:pBdr/>
      <w:spacing/>
      <w:ind/>
    </w:pPr>
    <w:rPr>
      <w:b/>
      <w:bCs/>
    </w:rPr>
  </w:style>
  <w:style w:type="character" w:styleId="766">
    <w:name w:val="Subtle Reference"/>
    <w:basedOn w:val="7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67">
    <w:name w:val="Book Title"/>
    <w:basedOn w:val="748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68" w:customStyle="1">
    <w:name w:val="Header Char"/>
    <w:basedOn w:val="748"/>
    <w:uiPriority w:val="99"/>
    <w:pPr>
      <w:pBdr/>
      <w:spacing/>
      <w:ind/>
    </w:pPr>
  </w:style>
  <w:style w:type="character" w:styleId="769" w:customStyle="1">
    <w:name w:val="Footer Char"/>
    <w:basedOn w:val="748"/>
    <w:uiPriority w:val="99"/>
    <w:pPr>
      <w:pBdr/>
      <w:spacing/>
      <w:ind/>
    </w:pPr>
  </w:style>
  <w:style w:type="paragraph" w:styleId="770">
    <w:name w:val="Caption"/>
    <w:basedOn w:val="738"/>
    <w:next w:val="738"/>
    <w:uiPriority w:val="35"/>
    <w:unhideWhenUsed/>
    <w:qFormat/>
    <w:pPr>
      <w:pBdr/>
      <w:spacing w:after="200"/>
      <w:ind/>
    </w:pPr>
    <w:rPr>
      <w:i/>
      <w:iCs/>
      <w:color w:val="1f497d" w:themeColor="text2"/>
      <w:sz w:val="18"/>
      <w:szCs w:val="18"/>
    </w:rPr>
  </w:style>
  <w:style w:type="character" w:styleId="771" w:customStyle="1">
    <w:name w:val="Footnote Text Char"/>
    <w:basedOn w:val="748"/>
    <w:uiPriority w:val="99"/>
    <w:semiHidden/>
    <w:pPr>
      <w:pBdr/>
      <w:spacing/>
      <w:ind/>
    </w:pPr>
    <w:rPr>
      <w:sz w:val="20"/>
      <w:szCs w:val="20"/>
    </w:rPr>
  </w:style>
  <w:style w:type="paragraph" w:styleId="772">
    <w:name w:val="endnote text"/>
    <w:basedOn w:val="738"/>
    <w:link w:val="773"/>
    <w:uiPriority w:val="99"/>
    <w:semiHidden/>
    <w:unhideWhenUsed/>
    <w:pPr>
      <w:pBdr/>
      <w:spacing/>
      <w:ind/>
    </w:pPr>
    <w:rPr>
      <w:szCs w:val="20"/>
    </w:rPr>
  </w:style>
  <w:style w:type="character" w:styleId="773" w:customStyle="1">
    <w:name w:val="Текст кінцевої виноски Знак"/>
    <w:basedOn w:val="748"/>
    <w:link w:val="772"/>
    <w:uiPriority w:val="99"/>
    <w:semiHidden/>
    <w:pPr>
      <w:pBdr/>
      <w:spacing/>
      <w:ind/>
    </w:pPr>
    <w:rPr>
      <w:sz w:val="20"/>
      <w:szCs w:val="20"/>
    </w:rPr>
  </w:style>
  <w:style w:type="character" w:styleId="774">
    <w:name w:val="endnote reference"/>
    <w:basedOn w:val="748"/>
    <w:uiPriority w:val="99"/>
    <w:semiHidden/>
    <w:unhideWhenUsed/>
    <w:pPr>
      <w:pBdr/>
      <w:spacing/>
      <w:ind/>
    </w:pPr>
    <w:rPr>
      <w:vertAlign w:val="superscript"/>
    </w:rPr>
  </w:style>
  <w:style w:type="character" w:styleId="775">
    <w:name w:val="FollowedHyperlink"/>
    <w:basedOn w:val="748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paragraph" w:styleId="776">
    <w:name w:val="table of figures"/>
    <w:basedOn w:val="738"/>
    <w:next w:val="738"/>
    <w:uiPriority w:val="99"/>
    <w:unhideWhenUsed/>
    <w:pPr>
      <w:pBdr/>
      <w:spacing/>
      <w:ind/>
    </w:pPr>
  </w:style>
  <w:style w:type="character" w:styleId="777" w:customStyle="1">
    <w:name w:val="Heading 1 Char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78" w:customStyle="1">
    <w:name w:val="Heading 2 Char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79" w:customStyle="1">
    <w:name w:val="Heading 3 Char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80" w:customStyle="1">
    <w:name w:val="Заголовок 4 Знак"/>
    <w:link w:val="742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81" w:customStyle="1">
    <w:name w:val="Заголовок 5 Знак"/>
    <w:link w:val="74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82" w:customStyle="1">
    <w:name w:val="Заголовок 6 Знак"/>
    <w:link w:val="74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83" w:customStyle="1">
    <w:name w:val="Заголовок 7 Знак"/>
    <w:link w:val="74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84" w:customStyle="1">
    <w:name w:val="Заголовок 8 Знак"/>
    <w:link w:val="746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85" w:customStyle="1">
    <w:name w:val="Заголовок 9 Знак"/>
    <w:link w:val="74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86">
    <w:name w:val="List Paragraph"/>
    <w:uiPriority w:val="34"/>
    <w:qFormat/>
    <w:pPr>
      <w:pBdr/>
      <w:spacing/>
      <w:ind w:left="720"/>
      <w:contextualSpacing w:val="true"/>
    </w:pPr>
  </w:style>
  <w:style w:type="paragraph" w:styleId="787">
    <w:name w:val="No Spacing"/>
    <w:uiPriority w:val="1"/>
    <w:qFormat/>
    <w:pPr>
      <w:pBdr/>
      <w:spacing/>
      <w:ind/>
    </w:pPr>
  </w:style>
  <w:style w:type="paragraph" w:styleId="788">
    <w:name w:val="Title"/>
    <w:link w:val="78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89" w:customStyle="1">
    <w:name w:val="Назва Знак"/>
    <w:link w:val="788"/>
    <w:uiPriority w:val="10"/>
    <w:pPr>
      <w:pBdr/>
      <w:spacing/>
      <w:ind/>
    </w:pPr>
    <w:rPr>
      <w:sz w:val="48"/>
      <w:szCs w:val="48"/>
    </w:rPr>
  </w:style>
  <w:style w:type="paragraph" w:styleId="790">
    <w:name w:val="Subtitle"/>
    <w:link w:val="79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91" w:customStyle="1">
    <w:name w:val="Підзаголовок Знак"/>
    <w:link w:val="790"/>
    <w:uiPriority w:val="11"/>
    <w:pPr>
      <w:pBdr/>
      <w:spacing/>
      <w:ind/>
    </w:pPr>
    <w:rPr>
      <w:sz w:val="24"/>
      <w:szCs w:val="24"/>
    </w:rPr>
  </w:style>
  <w:style w:type="paragraph" w:styleId="792">
    <w:name w:val="Quote"/>
    <w:link w:val="793"/>
    <w:uiPriority w:val="29"/>
    <w:qFormat/>
    <w:pPr>
      <w:pBdr/>
      <w:spacing/>
      <w:ind w:right="720" w:left="720"/>
    </w:pPr>
    <w:rPr>
      <w:i/>
    </w:rPr>
  </w:style>
  <w:style w:type="character" w:styleId="793" w:customStyle="1">
    <w:name w:val="Цитата Знак"/>
    <w:link w:val="792"/>
    <w:uiPriority w:val="29"/>
    <w:pPr>
      <w:pBdr/>
      <w:spacing/>
      <w:ind/>
    </w:pPr>
    <w:rPr>
      <w:i/>
    </w:rPr>
  </w:style>
  <w:style w:type="paragraph" w:styleId="794">
    <w:name w:val="Intense Quote"/>
    <w:link w:val="79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95" w:customStyle="1">
    <w:name w:val="Насичена цитата Знак"/>
    <w:link w:val="794"/>
    <w:uiPriority w:val="30"/>
    <w:pPr>
      <w:pBdr/>
      <w:spacing/>
      <w:ind/>
    </w:pPr>
    <w:rPr>
      <w:i/>
    </w:rPr>
  </w:style>
  <w:style w:type="paragraph" w:styleId="796">
    <w:name w:val="Header"/>
    <w:link w:val="797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797" w:customStyle="1">
    <w:name w:val="Верхній колонтитул Знак"/>
    <w:link w:val="796"/>
    <w:uiPriority w:val="99"/>
    <w:pPr>
      <w:pBdr/>
      <w:spacing/>
      <w:ind/>
    </w:pPr>
  </w:style>
  <w:style w:type="paragraph" w:styleId="798">
    <w:name w:val="Footer"/>
    <w:link w:val="799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799" w:customStyle="1">
    <w:name w:val="Нижній колонтитул Знак"/>
    <w:link w:val="798"/>
    <w:uiPriority w:val="99"/>
    <w:pPr>
      <w:pBdr/>
      <w:spacing/>
      <w:ind/>
    </w:pPr>
  </w:style>
  <w:style w:type="table" w:styleId="800">
    <w:name w:val="Table Grid"/>
    <w:uiPriority w:val="59"/>
    <w:pPr>
      <w:pBdr/>
      <w:spacing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Table Grid Light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Plain Table 1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Plain Table 2"/>
    <w:uiPriority w:val="59"/>
    <w:pPr>
      <w:pBdr/>
      <w:spacing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Plain Table 3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Plain Table 4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Plain Table 5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1 Light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1 Light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1 Light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1 Light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1 Light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1 Light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2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2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2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2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2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2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3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3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3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3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3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3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4 - Accent 1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4 - Accent 2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4 - Accent 3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4 - Accent 4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4 - Accent 5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4 - Accent 6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5 Dark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ec4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ec4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5 Dark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2ae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2ae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5 Dark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0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0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5 Dark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5 Dark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cd8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cd8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5 Dark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e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e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6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6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6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6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6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6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9d8" w:themeFill="accent6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7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7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7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7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7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7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9d8" w:themeFill="accent6" w:themeFillTint="34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1 Light - Accent 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1 Light - Accent 2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1 Light - Accent 3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1 Light - Accent 4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1 Light - Accent 5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1 Light - Accent 6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2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2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2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2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2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2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3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3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d9969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3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3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3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2cc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3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ac0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4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4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4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4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4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4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5 Dark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auto" w:fill="4f81bd" w:themeFill="accent1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5 Dark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auto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5 Dark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auto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5 Dark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auto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5 Dark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auto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5 Dark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auto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auto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6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6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6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6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6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6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7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7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7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7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7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7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ned - Accent"/>
    <w:uiPriority w:val="99"/>
    <w:pPr>
      <w:pBdr/>
      <w:spacing/>
      <w:ind/>
    </w:pPr>
    <w:rPr>
      <w:color w:val="404040"/>
      <w:szCs w:val="20"/>
      <w:lang w:eastAsia="uk-UA" w:bidi="ar-S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ned - Accent 1"/>
    <w:uiPriority w:val="99"/>
    <w:pPr>
      <w:pBdr/>
      <w:spacing/>
      <w:ind/>
    </w:pPr>
    <w:rPr>
      <w:color w:val="404040"/>
      <w:szCs w:val="20"/>
      <w:lang w:eastAsia="uk-UA" w:bidi="ar-S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ned - Accent 2"/>
    <w:uiPriority w:val="99"/>
    <w:pPr>
      <w:pBdr/>
      <w:spacing/>
      <w:ind/>
    </w:pPr>
    <w:rPr>
      <w:color w:val="404040"/>
      <w:szCs w:val="20"/>
      <w:lang w:eastAsia="uk-UA" w:bidi="ar-S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ned - Accent 3"/>
    <w:uiPriority w:val="99"/>
    <w:pPr>
      <w:pBdr/>
      <w:spacing/>
      <w:ind/>
    </w:pPr>
    <w:rPr>
      <w:color w:val="404040"/>
      <w:szCs w:val="20"/>
      <w:lang w:eastAsia="uk-UA" w:bidi="ar-S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ned - Accent 4"/>
    <w:uiPriority w:val="99"/>
    <w:pPr>
      <w:pBdr/>
      <w:spacing/>
      <w:ind/>
    </w:pPr>
    <w:rPr>
      <w:color w:val="404040"/>
      <w:szCs w:val="20"/>
      <w:lang w:eastAsia="uk-UA" w:bidi="ar-S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ned - Accent 5"/>
    <w:uiPriority w:val="99"/>
    <w:pPr>
      <w:pBdr/>
      <w:spacing/>
      <w:ind/>
    </w:pPr>
    <w:rPr>
      <w:color w:val="404040"/>
      <w:szCs w:val="20"/>
      <w:lang w:eastAsia="uk-UA" w:bidi="ar-S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ned - Accent 6"/>
    <w:uiPriority w:val="99"/>
    <w:pPr>
      <w:pBdr/>
      <w:spacing/>
      <w:ind/>
    </w:pPr>
    <w:rPr>
      <w:color w:val="404040"/>
      <w:szCs w:val="20"/>
      <w:lang w:eastAsia="uk-UA" w:bidi="ar-S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Bordered &amp; Lined - Accent"/>
    <w:uiPriority w:val="99"/>
    <w:pPr>
      <w:pBdr/>
      <w:spacing/>
      <w:ind/>
    </w:pPr>
    <w:rPr>
      <w:color w:val="404040"/>
      <w:szCs w:val="20"/>
      <w:lang w:eastAsia="uk-UA" w:bidi="ar-SA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Bordered &amp; Lined - Accent 1"/>
    <w:uiPriority w:val="99"/>
    <w:pPr>
      <w:pBdr/>
      <w:spacing/>
      <w:ind/>
    </w:pPr>
    <w:rPr>
      <w:color w:val="404040"/>
      <w:szCs w:val="20"/>
      <w:lang w:eastAsia="uk-UA" w:bidi="ar-SA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Bordered &amp; Lined - Accent 2"/>
    <w:uiPriority w:val="99"/>
    <w:pPr>
      <w:pBdr/>
      <w:spacing/>
      <w:ind/>
    </w:pPr>
    <w:rPr>
      <w:color w:val="404040"/>
      <w:szCs w:val="20"/>
      <w:lang w:eastAsia="uk-UA" w:bidi="ar-SA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Bordered &amp; Lined - Accent 3"/>
    <w:uiPriority w:val="99"/>
    <w:pPr>
      <w:pBdr/>
      <w:spacing/>
      <w:ind/>
    </w:pPr>
    <w:rPr>
      <w:color w:val="404040"/>
      <w:szCs w:val="20"/>
      <w:lang w:eastAsia="uk-UA" w:bidi="ar-SA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Bordered &amp; Lined - Accent 4"/>
    <w:uiPriority w:val="99"/>
    <w:pPr>
      <w:pBdr/>
      <w:spacing/>
      <w:ind/>
    </w:pPr>
    <w:rPr>
      <w:color w:val="404040"/>
      <w:szCs w:val="20"/>
      <w:lang w:eastAsia="uk-UA" w:bidi="ar-SA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Bordered &amp; Lined - Accent 5"/>
    <w:uiPriority w:val="99"/>
    <w:pPr>
      <w:pBdr/>
      <w:spacing/>
      <w:ind/>
    </w:pPr>
    <w:rPr>
      <w:color w:val="404040"/>
      <w:szCs w:val="20"/>
      <w:lang w:eastAsia="uk-UA" w:bidi="ar-SA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Bordered &amp; Lined - Accent 6"/>
    <w:uiPriority w:val="99"/>
    <w:pPr>
      <w:pBdr/>
      <w:spacing/>
      <w:ind/>
    </w:pPr>
    <w:rPr>
      <w:color w:val="404040"/>
      <w:szCs w:val="20"/>
      <w:lang w:eastAsia="uk-UA" w:bidi="ar-SA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Bordered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Bordered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Bordered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Bordered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Bordered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Bordered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Bordered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26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27">
    <w:name w:val="footnote text"/>
    <w:link w:val="928"/>
    <w:uiPriority w:val="99"/>
    <w:semiHidden/>
    <w:unhideWhenUsed/>
    <w:pPr>
      <w:pBdr/>
      <w:spacing w:after="40"/>
      <w:ind/>
    </w:pPr>
    <w:rPr>
      <w:sz w:val="18"/>
    </w:rPr>
  </w:style>
  <w:style w:type="character" w:styleId="928" w:customStyle="1">
    <w:name w:val="Текст виноски Знак"/>
    <w:link w:val="927"/>
    <w:uiPriority w:val="99"/>
    <w:pPr>
      <w:pBdr/>
      <w:spacing/>
      <w:ind/>
    </w:pPr>
    <w:rPr>
      <w:sz w:val="18"/>
    </w:rPr>
  </w:style>
  <w:style w:type="character" w:styleId="929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930">
    <w:name w:val="toc 1"/>
    <w:uiPriority w:val="39"/>
    <w:unhideWhenUsed/>
    <w:pPr>
      <w:pBdr/>
      <w:spacing w:after="57"/>
      <w:ind/>
    </w:pPr>
  </w:style>
  <w:style w:type="paragraph" w:styleId="931">
    <w:name w:val="toc 2"/>
    <w:uiPriority w:val="39"/>
    <w:unhideWhenUsed/>
    <w:pPr>
      <w:pBdr/>
      <w:spacing w:after="57"/>
      <w:ind w:left="283"/>
    </w:pPr>
  </w:style>
  <w:style w:type="paragraph" w:styleId="932">
    <w:name w:val="toc 3"/>
    <w:uiPriority w:val="39"/>
    <w:unhideWhenUsed/>
    <w:pPr>
      <w:pBdr/>
      <w:spacing w:after="57"/>
      <w:ind w:left="567"/>
    </w:pPr>
  </w:style>
  <w:style w:type="paragraph" w:styleId="933">
    <w:name w:val="toc 4"/>
    <w:uiPriority w:val="39"/>
    <w:unhideWhenUsed/>
    <w:pPr>
      <w:pBdr/>
      <w:spacing w:after="57"/>
      <w:ind w:left="850"/>
    </w:pPr>
  </w:style>
  <w:style w:type="paragraph" w:styleId="934">
    <w:name w:val="toc 5"/>
    <w:uiPriority w:val="39"/>
    <w:unhideWhenUsed/>
    <w:pPr>
      <w:pBdr/>
      <w:spacing w:after="57"/>
      <w:ind w:left="1134"/>
    </w:pPr>
  </w:style>
  <w:style w:type="paragraph" w:styleId="935">
    <w:name w:val="toc 6"/>
    <w:uiPriority w:val="39"/>
    <w:unhideWhenUsed/>
    <w:pPr>
      <w:pBdr/>
      <w:spacing w:after="57"/>
      <w:ind w:left="1417"/>
    </w:pPr>
  </w:style>
  <w:style w:type="paragraph" w:styleId="936">
    <w:name w:val="toc 7"/>
    <w:uiPriority w:val="39"/>
    <w:unhideWhenUsed/>
    <w:pPr>
      <w:pBdr/>
      <w:spacing w:after="57"/>
      <w:ind w:left="1701"/>
    </w:pPr>
  </w:style>
  <w:style w:type="paragraph" w:styleId="937">
    <w:name w:val="toc 8"/>
    <w:uiPriority w:val="39"/>
    <w:unhideWhenUsed/>
    <w:pPr>
      <w:pBdr/>
      <w:spacing w:after="57"/>
      <w:ind w:left="1984"/>
    </w:pPr>
  </w:style>
  <w:style w:type="paragraph" w:styleId="938">
    <w:name w:val="toc 9"/>
    <w:uiPriority w:val="39"/>
    <w:unhideWhenUsed/>
    <w:pPr>
      <w:pBdr/>
      <w:spacing w:after="57"/>
      <w:ind w:left="2268"/>
    </w:pPr>
  </w:style>
  <w:style w:type="paragraph" w:styleId="939">
    <w:name w:val="TOC Heading"/>
    <w:uiPriority w:val="39"/>
    <w:unhideWhenUsed/>
    <w:pPr>
      <w:pBdr/>
      <w:spacing/>
      <w:ind/>
    </w:pPr>
  </w:style>
  <w:style w:type="paragraph" w:styleId="940" w:customStyle="1">
    <w:name w:val="Обычный"/>
    <w:link w:val="940"/>
    <w:pPr>
      <w:widowControl w:val="false"/>
      <w:pBdr/>
      <w:spacing/>
      <w:ind/>
    </w:pPr>
    <w:rPr>
      <w:color w:val="000000"/>
      <w:sz w:val="24"/>
      <w:szCs w:val="24"/>
      <w:lang w:eastAsia="uk-UA" w:bidi="uk-UA"/>
    </w:rPr>
  </w:style>
  <w:style w:type="character" w:styleId="941" w:customStyle="1">
    <w:name w:val="Основной шрифт абзаца"/>
    <w:pPr>
      <w:pBdr/>
      <w:spacing/>
      <w:ind/>
    </w:pPr>
  </w:style>
  <w:style w:type="table" w:styleId="942" w:customStyle="1">
    <w:name w:val="Обычная таблица"/>
    <w:semiHidden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43" w:customStyle="1">
    <w:name w:val="Нет списка"/>
    <w:semiHidden/>
    <w:pPr>
      <w:pBdr/>
      <w:spacing/>
      <w:ind/>
    </w:pPr>
  </w:style>
  <w:style w:type="character" w:styleId="944" w:customStyle="1">
    <w:name w:val="Гиперссылка"/>
    <w:pPr>
      <w:pBdr/>
      <w:spacing/>
      <w:ind/>
    </w:pPr>
    <w:rPr>
      <w:color w:val="0066cc"/>
      <w:u w:val="single"/>
    </w:rPr>
  </w:style>
  <w:style w:type="character" w:styleId="945" w:customStyle="1">
    <w:name w:val="Основной текст (2)_"/>
    <w:link w:val="949"/>
    <w:pPr>
      <w:pBdr/>
      <w:spacing/>
      <w:ind/>
    </w:pPr>
    <w:rPr>
      <w:rFonts w:ascii="Times New Roman" w:hAnsi="Times New Roman" w:eastAsia="Times New Roman"/>
      <w:sz w:val="28"/>
      <w:szCs w:val="28"/>
      <w:u w:val="none"/>
    </w:rPr>
  </w:style>
  <w:style w:type="character" w:styleId="946" w:customStyle="1">
    <w:name w:val="Заголовок №1_"/>
    <w:link w:val="950"/>
    <w:pPr>
      <w:pBdr/>
      <w:spacing/>
      <w:ind/>
    </w:pPr>
    <w:rPr>
      <w:rFonts w:ascii="Times New Roman" w:hAnsi="Times New Roman" w:eastAsia="Times New Roman"/>
      <w:sz w:val="28"/>
      <w:szCs w:val="28"/>
      <w:u w:val="none"/>
    </w:rPr>
  </w:style>
  <w:style w:type="character" w:styleId="947" w:customStyle="1">
    <w:name w:val="Основной текст (3)_"/>
    <w:link w:val="951"/>
    <w:pPr>
      <w:pBdr/>
      <w:spacing/>
      <w:ind/>
    </w:pPr>
    <w:rPr>
      <w:rFonts w:ascii="Times New Roman" w:hAnsi="Times New Roman" w:eastAsia="Times New Roman"/>
      <w:b/>
      <w:bCs/>
      <w:sz w:val="26"/>
      <w:szCs w:val="26"/>
      <w:u w:val="none"/>
    </w:rPr>
  </w:style>
  <w:style w:type="character" w:styleId="948" w:customStyle="1">
    <w:name w:val="Колонтитул_"/>
    <w:link w:val="952"/>
    <w:pPr>
      <w:pBdr/>
      <w:spacing/>
      <w:ind/>
    </w:pPr>
    <w:rPr>
      <w:rFonts w:ascii="Times New Roman" w:hAnsi="Times New Roman" w:eastAsia="Times New Roman"/>
      <w:sz w:val="26"/>
      <w:szCs w:val="26"/>
      <w:u w:val="none"/>
    </w:rPr>
  </w:style>
  <w:style w:type="paragraph" w:styleId="949" w:customStyle="1">
    <w:name w:val="Основной текст (2)"/>
    <w:basedOn w:val="940"/>
    <w:link w:val="945"/>
    <w:pPr>
      <w:pBdr/>
      <w:shd w:val="clear" w:color="auto" w:fill="ffffff"/>
      <w:spacing w:after="300" w:before="120" w:line="0" w:lineRule="atLeast"/>
      <w:ind/>
      <w:jc w:val="center"/>
    </w:pPr>
    <w:rPr>
      <w:rFonts w:ascii="Times New Roman" w:hAnsi="Times New Roman" w:eastAsia="Times New Roman"/>
      <w:sz w:val="28"/>
      <w:szCs w:val="28"/>
      <w:lang w:val="en-US" w:eastAsia="en-US" w:bidi="ar-SA"/>
    </w:rPr>
  </w:style>
  <w:style w:type="paragraph" w:styleId="950" w:customStyle="1">
    <w:name w:val="Заголовок №1"/>
    <w:basedOn w:val="940"/>
    <w:link w:val="946"/>
    <w:pPr>
      <w:pBdr/>
      <w:shd w:val="clear" w:color="auto" w:fill="ffffff"/>
      <w:spacing w:after="420" w:before="300" w:line="322" w:lineRule="exact"/>
      <w:ind/>
      <w:outlineLvl w:val="0"/>
    </w:pPr>
    <w:rPr>
      <w:rFonts w:ascii="Times New Roman" w:hAnsi="Times New Roman" w:eastAsia="Times New Roman"/>
      <w:sz w:val="28"/>
      <w:szCs w:val="28"/>
      <w:lang w:val="en-US" w:eastAsia="en-US" w:bidi="ar-SA"/>
    </w:rPr>
  </w:style>
  <w:style w:type="paragraph" w:styleId="951" w:customStyle="1">
    <w:name w:val="Основной текст (3)"/>
    <w:basedOn w:val="940"/>
    <w:link w:val="947"/>
    <w:pPr>
      <w:pBdr/>
      <w:shd w:val="clear" w:color="auto" w:fill="ffffff"/>
      <w:spacing w:after="720" w:before="300" w:line="0" w:lineRule="atLeast"/>
      <w:ind/>
      <w:jc w:val="center"/>
    </w:pPr>
    <w:rPr>
      <w:rFonts w:ascii="Times New Roman" w:hAnsi="Times New Roman" w:eastAsia="Times New Roman"/>
      <w:b/>
      <w:bCs/>
      <w:sz w:val="26"/>
      <w:szCs w:val="26"/>
      <w:lang w:val="en-US" w:eastAsia="en-US" w:bidi="ar-SA"/>
    </w:rPr>
  </w:style>
  <w:style w:type="paragraph" w:styleId="952" w:customStyle="1">
    <w:name w:val="Колонтитул"/>
    <w:basedOn w:val="940"/>
    <w:link w:val="948"/>
    <w:pPr>
      <w:pBdr/>
      <w:shd w:val="clear" w:color="auto" w:fill="ffffff"/>
      <w:spacing w:line="0" w:lineRule="atLeast"/>
      <w:ind/>
    </w:pPr>
    <w:rPr>
      <w:rFonts w:ascii="Times New Roman" w:hAnsi="Times New Roman" w:eastAsia="Times New Roman"/>
      <w:sz w:val="26"/>
      <w:szCs w:val="26"/>
      <w:lang w:val="en-US" w:eastAsia="en-US" w:bidi="ar-SA"/>
    </w:rPr>
  </w:style>
  <w:style w:type="paragraph" w:styleId="953" w:customStyle="1">
    <w:name w:val="Верхний колонтитул"/>
    <w:basedOn w:val="940"/>
    <w:link w:val="954"/>
    <w:semiHidden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54" w:customStyle="1">
    <w:name w:val="Верхний колонтитул Знак"/>
    <w:link w:val="953"/>
    <w:semiHidden/>
    <w:pPr>
      <w:pBdr/>
      <w:spacing/>
      <w:ind/>
    </w:pPr>
    <w:rPr>
      <w:color w:val="000000"/>
      <w:sz w:val="24"/>
      <w:szCs w:val="24"/>
      <w:lang w:val="uk-UA" w:eastAsia="uk-UA" w:bidi="uk-UA"/>
    </w:rPr>
  </w:style>
  <w:style w:type="paragraph" w:styleId="955" w:customStyle="1">
    <w:name w:val="Нижний колонтитул"/>
    <w:basedOn w:val="940"/>
    <w:link w:val="956"/>
    <w:semiHidden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56" w:customStyle="1">
    <w:name w:val="Нижний колонтитул Знак"/>
    <w:link w:val="955"/>
    <w:semiHidden/>
    <w:pPr>
      <w:pBdr/>
      <w:spacing/>
      <w:ind/>
    </w:pPr>
    <w:rPr>
      <w:color w:val="000000"/>
      <w:sz w:val="24"/>
      <w:szCs w:val="24"/>
      <w:lang w:val="uk-UA" w:eastAsia="uk-UA" w:bidi="uk-UA"/>
    </w:rPr>
  </w:style>
  <w:style w:type="character" w:styleId="957" w:customStyle="1">
    <w:name w:val="Заголовок 1 Знак"/>
    <w:link w:val="739"/>
    <w:pPr>
      <w:pBdr/>
      <w:spacing/>
      <w:ind/>
    </w:pPr>
    <w:rPr>
      <w:rFonts w:ascii="Times New Roman" w:hAnsi="Times New Roman" w:eastAsia="Times New Roman"/>
      <w:sz w:val="32"/>
    </w:rPr>
  </w:style>
  <w:style w:type="character" w:styleId="958" w:customStyle="1">
    <w:name w:val="Заголовок 2 Знак"/>
    <w:link w:val="740"/>
    <w:semiHidden/>
    <w:pPr>
      <w:pBdr/>
      <w:spacing/>
      <w:ind/>
    </w:pPr>
    <w:rPr>
      <w:rFonts w:ascii="Times New Roman" w:hAnsi="Times New Roman" w:eastAsia="Times New Roman"/>
      <w:b/>
      <w:sz w:val="28"/>
      <w:lang w:val="uk-UA"/>
    </w:rPr>
  </w:style>
  <w:style w:type="character" w:styleId="959" w:customStyle="1">
    <w:name w:val="Заголовок 3 Знак"/>
    <w:link w:val="741"/>
    <w:pPr>
      <w:pBdr/>
      <w:spacing/>
      <w:ind/>
    </w:pPr>
    <w:rPr>
      <w:rFonts w:ascii="Times New Roman" w:hAnsi="Times New Roman" w:eastAsia="Times New Roman"/>
      <w:b/>
      <w:sz w:val="32"/>
      <w:lang w:val="uk-U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Usher</dc:creator>
  <cp:lastModifiedBy>Марцева  Тетяна  Іванівна</cp:lastModifiedBy>
  <cp:revision>5</cp:revision>
  <dcterms:created xsi:type="dcterms:W3CDTF">2025-04-30T11:55:00Z</dcterms:created>
  <dcterms:modified xsi:type="dcterms:W3CDTF">2025-04-30T12:38:58Z</dcterms:modified>
</cp:coreProperties>
</file>