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МІСЬКА РАДА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пленарного засідання Менської міської ради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tabs>
          <w:tab w:val="left" w:leader="none" w:pos="4535"/>
          <w:tab w:val="left" w:leader="none" w:pos="7370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квітня</w:t>
      </w:r>
      <w:r>
        <w:rPr>
          <w:rFonts w:ascii="Times New Roman" w:hAnsi="Times New Roman" w:cs="Times New Roman"/>
          <w:sz w:val="28"/>
          <w:szCs w:val="28"/>
        </w:rPr>
        <w:t xml:space="preserve"> 2025 року</w:t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 Мена</w:t>
        <w:tab/>
      </w:r>
      <w:r>
        <w:rPr>
          <w:rFonts w:ascii="Times New Roman" w:hAnsi="Times New Roman" w:cs="Times New Roman"/>
          <w:sz w:val="28"/>
          <w:szCs w:val="28"/>
        </w:rPr>
        <w:t xml:space="preserve">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pBdr/>
        <w:spacing w:after="0" w:afterAutospacing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сесійна зала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</w:p>
    <w:p>
      <w:pPr>
        <w:suppressLineNumbers w:val="false"/>
        <w:pBdr/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міській раді встановлено 26 депутатських мандатів, обрано 26 депутатів.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сесії зареєстровано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присутні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відсутні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депутатів.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ст. 42, 50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ради Юрія СТАЛЬНИЧЕНКА, оскільки міський голова Геннадій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ПРИМАКОВ увільнений у зв’язку з мобілізацією.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Згі</w:t>
      </w:r>
      <w:r>
        <w:rPr>
          <w:rFonts w:ascii="Times New Roman" w:hAnsi="Times New Roman" w:cs="Times New Roman"/>
          <w:sz w:val="28"/>
          <w:szCs w:val="28"/>
        </w:rPr>
        <w:t xml:space="preserve">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проводяться гласно із забезпеченням права кожного бути присутнім на 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крім 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закону</w:t>
      </w:r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пленарном</w:t>
      </w:r>
      <w:r>
        <w:rPr>
          <w:rFonts w:ascii="Times New Roman" w:hAnsi="Times New Roman" w:cs="Times New Roman"/>
          <w:sz w:val="28"/>
          <w:szCs w:val="28"/>
        </w:rPr>
        <w:t xml:space="preserve">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(журналістського) посвідчення.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240" w:lineRule="auto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Присутні: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240" w:lineRule="auto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Гаєвой С.М., заступник міського голови з питань діяльності виконавчих органів ради.</w:t>
      </w:r>
      <w:r/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запропонував зайняти визначені місця і відкрив 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повідомив депутатів згідно ст. 46 п.4 Закону України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самоврядування в Україні» та ст.19, 20 Регламенту Менської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сьогодні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скликання.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ознайомив депутатів з запропонованим порядком денним засідання, а саме: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</w:t>
      </w:r>
      <w:r>
        <w:rPr>
          <w:rFonts w:ascii="Times New Roman" w:hAnsi="Times New Roman" w:cs="Times New Roman"/>
          <w:sz w:val="28"/>
          <w:szCs w:val="28"/>
        </w:rPr>
        <w:t xml:space="preserve">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профілактики правопорушень «Безпечна громада»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соціальної підтримки жителів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на 2025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виконання рішень суду про стягнення коштів на 2024-2025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рішення  сорок</w:t>
      </w:r>
      <w:r>
        <w:rPr>
          <w:rFonts w:ascii="Times New Roman" w:hAnsi="Times New Roman" w:cs="Times New Roman"/>
          <w:sz w:val="28"/>
          <w:szCs w:val="28"/>
        </w:rPr>
        <w:t xml:space="preserve"> восьмої сесії Менської міської ради восьмого скликання від 29 травня 2024 року № 286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включення нерухомого майна до Переліку другого типу </w:t>
      </w:r>
      <w:r>
        <w:rPr>
          <w:rFonts w:ascii="Times New Roman" w:hAnsi="Times New Roman" w:cs="Times New Roman"/>
          <w:sz w:val="28"/>
          <w:szCs w:val="28"/>
        </w:rPr>
        <w:t xml:space="preserve">та  передачу</w:t>
      </w:r>
      <w:r>
        <w:rPr>
          <w:rFonts w:ascii="Times New Roman" w:hAnsi="Times New Roman" w:cs="Times New Roman"/>
          <w:sz w:val="28"/>
          <w:szCs w:val="28"/>
        </w:rPr>
        <w:t xml:space="preserve"> його в оренду Головному управлінню ДПС у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оперативне управління Відділу соціального захисту населення та охорони здоров’я Менської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майна</w:t>
      </w:r>
      <w:r>
        <w:rPr>
          <w:rFonts w:ascii="Times New Roman" w:hAnsi="Times New Roman" w:cs="Times New Roman"/>
          <w:sz w:val="28"/>
          <w:szCs w:val="28"/>
        </w:rPr>
        <w:t xml:space="preserve"> в с. Волосківці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право оперативного управління Комунальної установи «Центр професійного розвитку педагогічних працівників»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право оперативного управління Відділу соціального захисту населення та охорони здоров’я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підтримки ветеранів війни, Захисників та Захисниць України, членів їх сімей загиблих(померлих) ветеранів війни, об’єднань ветеранів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зміни в організаційній </w:t>
      </w:r>
      <w:r>
        <w:rPr>
          <w:rFonts w:ascii="Times New Roman" w:hAnsi="Times New Roman" w:cs="Times New Roman"/>
          <w:sz w:val="28"/>
          <w:szCs w:val="28"/>
        </w:rPr>
        <w:t xml:space="preserve">структурі  КНП</w:t>
      </w:r>
      <w:r>
        <w:rPr>
          <w:rFonts w:ascii="Times New Roman" w:hAnsi="Times New Roman" w:cs="Times New Roman"/>
          <w:sz w:val="28"/>
          <w:szCs w:val="28"/>
        </w:rPr>
        <w:t xml:space="preserve">“Менська міська лікарня”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Регіональний сервісний центр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порядок складання, затвердження та контролю виконання фінансових планів комунальних некомерційних підприємств в галузі охорони здоров’я, що належать до комунальної власності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утворення віддаленого робочого місця спеціаліста відділу «Центр надання адміністративних послуг»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господарського відання КП «Менакомунпослуга» на транспортний засіб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ліквідаційного балансу Комунального сільськогосподарського підприємства «Агро Титан»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фізичної культури і спорту в закладах освіти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обдарованої учнівської молоді та творчих педагогів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 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в закладах дошкільної освіти Менської міської ради на 2025-2027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   розвитку    позашкільної    освіти   </w:t>
      </w:r>
      <w:r>
        <w:rPr>
          <w:rFonts w:ascii="Times New Roman" w:hAnsi="Times New Roman" w:cs="Times New Roman"/>
          <w:sz w:val="28"/>
          <w:szCs w:val="28"/>
        </w:rPr>
        <w:t xml:space="preserve">на  2025</w:t>
      </w:r>
      <w:r>
        <w:rPr>
          <w:rFonts w:ascii="Times New Roman" w:hAnsi="Times New Roman" w:cs="Times New Roman"/>
          <w:sz w:val="28"/>
          <w:szCs w:val="28"/>
        </w:rPr>
        <w:t xml:space="preserve">-2027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 Програми національно-патріотичного виховання на 2025 – 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квартири в оперативне управління КНП «Менська міська лікарня»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розроблення де</w:t>
      </w:r>
      <w:r>
        <w:rPr>
          <w:rFonts w:ascii="Times New Roman" w:hAnsi="Times New Roman" w:cs="Times New Roman"/>
          <w:sz w:val="28"/>
          <w:szCs w:val="28"/>
        </w:rPr>
        <w:t xml:space="preserve">тального плану території.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Плану дій зі зміцнення потенціалу надавати соціальні послуги в Менській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поділу земельної ділянки, яка перебуває в оренді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згоди на передачу орендованої земельної ділянки в суборенду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зі зміною цільового призначення ТОВ «Агроресурс-2006» та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оренду земельної ділянки Донцю П.В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укладання договору оренди землі з СТОВ «ОЛСТАС-ЛЬОН»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поділу земельної ділянки, розміщеної в с. Стольне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</w:t>
      </w:r>
      <w:r>
        <w:rPr>
          <w:rFonts w:ascii="Times New Roman" w:hAnsi="Times New Roman" w:cs="Times New Roman"/>
          <w:sz w:val="28"/>
          <w:szCs w:val="28"/>
        </w:rPr>
        <w:t xml:space="preserve">на 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проекту землеустрою щодо відведення земельної ділянки для надання в оренду АТ «ЧЕРНІГІВОБЛЕНЕРГО»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проекту землеустрою щодо відведення земельної ділянки по зміні цільового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технічної документації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право оренди якої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проєктів землеустрою щодо відведення земельних ділянок з метою передачі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256. Про передачу земельної ділянки в постійне користування комунальному закладу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Менський будинок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ГРІН-ГРОСЕРІ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Процел О.Г. на виготовлення документації із землеустрою з метою передачі земельної ділянки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право користування земельними ділянками наданими для особисто селянського господарства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КНП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ПМСД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МЕНСЬКОМУ ЗДО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ДИТЯЧА АКАДЕМІЯ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МАРИНА-М</w:t>
      </w:r>
      <w:r>
        <w:rPr>
          <w:rFonts w:ascii="Times New Roman" w:hAnsi="Times New Roman" w:cs="Times New Roman"/>
          <w:sz w:val="28"/>
          <w:szCs w:val="28"/>
        </w:rPr>
        <w:t xml:space="preserve">» технічної документації із землеустрою по встановленню (відновленню) меж земельної ділянки за межами с. Волосківці та внесення змін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</w:t>
      </w:r>
      <w:r>
        <w:rPr>
          <w:rFonts w:ascii="Times New Roman" w:hAnsi="Times New Roman" w:cs="Times New Roman"/>
          <w:sz w:val="28"/>
          <w:szCs w:val="28"/>
        </w:rPr>
        <w:t xml:space="preserve">документації  із</w:t>
      </w:r>
      <w:r>
        <w:rPr>
          <w:rFonts w:ascii="Times New Roman" w:hAnsi="Times New Roman" w:cs="Times New Roman"/>
          <w:sz w:val="28"/>
          <w:szCs w:val="28"/>
        </w:rPr>
        <w:t xml:space="preserve"> землеустрою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 подальшою передачею невитребуваних земельних ділянок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невитребуваних земельних ділянок (паїв) в оренду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координат земельної ділянки комунальної власності за межами селища Садове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омендації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 Юрій Валерійович запропонував внести зміни до вищезазначеного проєкту порядку денного: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256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в постійне користування комунальному закладу «Менський будинок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зняти з порядку денного, та змінити порядок розгляду проєктів рішень, помінявши їх місцями: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поставив на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проєкту порядку денного.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256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в постійне користування комунальному закладу «Менський будинок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зняти з порядку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інити порядок розгляду проєктів рішень,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змінивши нумерацію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поставив на голосування проєкт рішення з внесеними змінами: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</w:t>
      </w:r>
      <w:r>
        <w:rPr>
          <w:rFonts w:ascii="Times New Roman" w:hAnsi="Times New Roman" w:cs="Times New Roman"/>
          <w:sz w:val="28"/>
          <w:szCs w:val="28"/>
        </w:rPr>
        <w:t xml:space="preserve">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профілактики правопорушень «Безпечна громада»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соціальної підтримки жителів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на 2025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виконання рішень суду про стягнення коштів на 2024-2025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рішення  сорок</w:t>
      </w:r>
      <w:r>
        <w:rPr>
          <w:rFonts w:ascii="Times New Roman" w:hAnsi="Times New Roman" w:cs="Times New Roman"/>
          <w:sz w:val="28"/>
          <w:szCs w:val="28"/>
        </w:rPr>
        <w:t xml:space="preserve"> восьмої сесії Менської міської ради восьмого скликання від 29 травня 2024 року № 286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включення нерухомого майна до Переліку другого типу </w:t>
      </w:r>
      <w:r>
        <w:rPr>
          <w:rFonts w:ascii="Times New Roman" w:hAnsi="Times New Roman" w:cs="Times New Roman"/>
          <w:sz w:val="28"/>
          <w:szCs w:val="28"/>
        </w:rPr>
        <w:t xml:space="preserve">та  передачу</w:t>
      </w:r>
      <w:r>
        <w:rPr>
          <w:rFonts w:ascii="Times New Roman" w:hAnsi="Times New Roman" w:cs="Times New Roman"/>
          <w:sz w:val="28"/>
          <w:szCs w:val="28"/>
        </w:rPr>
        <w:t xml:space="preserve"> його в оренду Головному управлінню ДПС у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оперативне управління Відділу соціального захисту населення та охорони здоров’я Менської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майна</w:t>
      </w:r>
      <w:r>
        <w:rPr>
          <w:rFonts w:ascii="Times New Roman" w:hAnsi="Times New Roman" w:cs="Times New Roman"/>
          <w:sz w:val="28"/>
          <w:szCs w:val="28"/>
        </w:rPr>
        <w:t xml:space="preserve"> в с. Волосківці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право оперативного управління Комунальної установи «Центр професійного розвитку педагогічних працівників»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право оперативного управління Відділу соціального захисту населення та охорони здоров’я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Програми підтримки ветеранів війни, Захисників та Захисниць України, членів їх сімей загиблих(померлих) ветеранів війни, об’єднань ветеранів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зміни в організаційній </w:t>
      </w:r>
      <w:r>
        <w:rPr>
          <w:rFonts w:ascii="Times New Roman" w:hAnsi="Times New Roman" w:cs="Times New Roman"/>
          <w:sz w:val="28"/>
          <w:szCs w:val="28"/>
        </w:rPr>
        <w:t xml:space="preserve">структурі  КНП</w:t>
      </w:r>
      <w:r>
        <w:rPr>
          <w:rFonts w:ascii="Times New Roman" w:hAnsi="Times New Roman" w:cs="Times New Roman"/>
          <w:sz w:val="28"/>
          <w:szCs w:val="28"/>
        </w:rPr>
        <w:t xml:space="preserve">“Менська міська лікарня”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Регіональний сервісний центр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порядок складання, затвердження та контролю виконання фінансових планів комунальних некомерційних підприємств в галузі охорони здоров’я, що належать до комунальної власності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утворення віддаленого робочого місця спеціаліста відділу «Центр надання адміністративних послуг»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права господарського відання КП «Менакомунпослуга» на транспортний засіб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ліквідаційного балансу Комунального сільськогосподарського підприємства «Агро Титан»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розвитку фізичної культури і спорту в закладах освіти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підтримки та розвитку обдарованої учнівської молоді та творчих педагогів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 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організації харчування дітей в закладах дошкільної освіти Менської міської ради на 2025-2027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Програми    розвитку    позашкільної    освіти   </w:t>
      </w:r>
      <w:r>
        <w:rPr>
          <w:rFonts w:ascii="Times New Roman" w:hAnsi="Times New Roman" w:cs="Times New Roman"/>
          <w:sz w:val="28"/>
          <w:szCs w:val="28"/>
        </w:rPr>
        <w:t xml:space="preserve">на  2025</w:t>
      </w:r>
      <w:r>
        <w:rPr>
          <w:rFonts w:ascii="Times New Roman" w:hAnsi="Times New Roman" w:cs="Times New Roman"/>
          <w:sz w:val="28"/>
          <w:szCs w:val="28"/>
        </w:rPr>
        <w:t xml:space="preserve">-2027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 Програми національно-патріотичного виховання на 2025 – 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квартири в оперативне управління КНП «Менська міська лікарня»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розроблення де</w:t>
      </w:r>
      <w:r>
        <w:rPr>
          <w:rFonts w:ascii="Times New Roman" w:hAnsi="Times New Roman" w:cs="Times New Roman"/>
          <w:sz w:val="28"/>
          <w:szCs w:val="28"/>
        </w:rPr>
        <w:t xml:space="preserve">тального плану території.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Плану дій зі зміцнення потенціалу надавати соціальні послуги в Менській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поділу земельної ділянки, яка перебуває в оренді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згоди на передачу орендованої земельної ділянки в суборенду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зі зміною цільового призначення ТОВ «Агроресурс-2006» та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в оренду земельної ділянки Донцю П.В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укладання договору оренди землі з СТОВ «ОЛСТАС-ЛЬОН»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поділу земельної ділянки, розміщеної в с. Стольне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</w:t>
      </w:r>
      <w:r>
        <w:rPr>
          <w:rFonts w:ascii="Times New Roman" w:hAnsi="Times New Roman" w:cs="Times New Roman"/>
          <w:sz w:val="28"/>
          <w:szCs w:val="28"/>
        </w:rPr>
        <w:t xml:space="preserve">на 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проекту землеустрою щодо відведення    земельної ділянки для надання в оренду  АТ «ЧЕРНІГІВОБЛЕНЕРГО»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проекту землеустрою щодо відведення земельної ділянки по зміні цільового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виготовлення технічної документації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право оренди якої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проєктів землеустрою щодо відведення земельних ділянок з метою передачі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ГРІН-ГРОСЕРІ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Процел О.Г. на виготовлення документації із землеустрою з метою передачі земельної ділянки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припинення право користування земельними ділянками наданими для особисто селянського господарства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КНП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ПМСД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МЕНСЬКОМУ ЗДО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ДИТЯЧА АКАДЕМІЯ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МАРИНА-М</w:t>
      </w:r>
      <w:r>
        <w:rPr>
          <w:rFonts w:ascii="Times New Roman" w:hAnsi="Times New Roman" w:cs="Times New Roman"/>
          <w:sz w:val="28"/>
          <w:szCs w:val="28"/>
        </w:rPr>
        <w:t xml:space="preserve">» технічної документації із землеустрою по встановленню (відновленню) меж земельної ділянки за межами с. Волосківці та внесення змін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технічної </w:t>
      </w:r>
      <w:r>
        <w:rPr>
          <w:rFonts w:ascii="Times New Roman" w:hAnsi="Times New Roman" w:cs="Times New Roman"/>
          <w:sz w:val="28"/>
          <w:szCs w:val="28"/>
        </w:rPr>
        <w:t xml:space="preserve">документації  із</w:t>
      </w:r>
      <w:r>
        <w:rPr>
          <w:rFonts w:ascii="Times New Roman" w:hAnsi="Times New Roman" w:cs="Times New Roman"/>
          <w:sz w:val="28"/>
          <w:szCs w:val="28"/>
        </w:rPr>
        <w:t xml:space="preserve"> землеустрою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 подальшою передачею невитребуваних земельних ділянок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передачу невитребуваних земельних ділянок (паїв) в оренду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 зміну координат земельної ділянки комунальної власності за межами селища Садове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Прийняти порядок денний з внесеними змінами.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звернувся до депутатів, затвердити такий порядок роботи сесії: для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голосування, пояснень, зауважень, запитань, пропозицій, повідомлень і довідок,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внесення поправок, а також виступів в «Різному» - до 2 хвилин. Кожні 2 години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роботи сесії робити перерву 15 хвилин.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Голосування проводити за допомогою електронної системи голосування.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затвердження вищеназваного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пленарного засідання.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порядок роботи сесії.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про перехід до розгляду питань порядку денного.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Зважаючи, що зауважень, доповнень не надходило,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</w:t>
      </w:r>
      <w:r>
        <w:rPr>
          <w:rFonts w:ascii="Times New Roman" w:hAnsi="Times New Roman" w:cs="Times New Roman"/>
          <w:sz w:val="28"/>
          <w:szCs w:val="28"/>
        </w:rPr>
        <w:t xml:space="preserve">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</w:t>
      </w:r>
      <w:r>
        <w:rPr>
          <w:rFonts w:ascii="Times New Roman" w:hAnsi="Times New Roman" w:cs="Times New Roman"/>
          <w:sz w:val="28"/>
          <w:szCs w:val="28"/>
        </w:rPr>
        <w:t xml:space="preserve">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профілактики правопорушень «Безпечна громада» на 2025-2027 роки в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повідомив, що д</w:t>
      </w:r>
      <w:r>
        <w:rPr>
          <w:sz w:val="28"/>
          <w:szCs w:val="28"/>
          <w:lang w:val="uk-UA"/>
        </w:rPr>
        <w:t xml:space="preserve">аний проєкт рішення </w:t>
      </w:r>
      <w:r>
        <w:rPr>
          <w:sz w:val="28"/>
          <w:szCs w:val="28"/>
          <w:lang w:val="uk-UA"/>
        </w:rPr>
        <w:t xml:space="preserve">був розглянутий на</w:t>
      </w:r>
      <w:r>
        <w:rPr>
          <w:sz w:val="28"/>
          <w:szCs w:val="28"/>
          <w:lang w:val="uk-UA"/>
        </w:rPr>
        <w:t xml:space="preserve"> засіданні п</w:t>
      </w:r>
      <w:r>
        <w:rPr>
          <w:sz w:val="28"/>
          <w:szCs w:val="28"/>
          <w:lang w:val="uk-UA"/>
        </w:rPr>
        <w:t xml:space="preserve">остійн</w:t>
      </w:r>
      <w:r>
        <w:rPr>
          <w:sz w:val="28"/>
          <w:szCs w:val="28"/>
          <w:lang w:val="uk-UA"/>
        </w:rPr>
        <w:t xml:space="preserve">ої</w:t>
      </w:r>
      <w:r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 xml:space="preserve">ої</w:t>
      </w:r>
      <w:r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</w:t>
      </w:r>
      <w:r>
        <w:rPr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розвитку, житлово-комунального госп</w:t>
      </w:r>
      <w:r>
        <w:rPr>
          <w:sz w:val="28"/>
          <w:szCs w:val="28"/>
          <w:lang w:val="uk-UA"/>
        </w:rPr>
        <w:t xml:space="preserve">одарства та комунального майна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Враховуючи, що запитань, зауважень 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пропозицій не надходило, </w:t>
      </w:r>
      <w:r>
        <w:rPr>
          <w:sz w:val="28"/>
          <w:szCs w:val="28"/>
          <w:lang w:val="uk-UA"/>
        </w:rPr>
        <w:t xml:space="preserve">запросив підтримати даний проєкт рішення.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профілактики правопорушень «Безпечна громада»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Стальниченка Ю.В. про необхідність проведення інженерно-</w:t>
      </w:r>
      <w:r>
        <w:rPr>
          <w:sz w:val="28"/>
          <w:szCs w:val="28"/>
        </w:rPr>
        <w:t xml:space="preserve">геологічних</w:t>
      </w:r>
      <w:r>
        <w:rPr>
          <w:sz w:val="28"/>
          <w:szCs w:val="28"/>
        </w:rPr>
        <w:t xml:space="preserve"> вишукуван</w:t>
      </w:r>
      <w:r>
        <w:rPr>
          <w:sz w:val="28"/>
          <w:szCs w:val="28"/>
          <w:lang w:val="uk-UA"/>
        </w:rPr>
        <w:t xml:space="preserve">ь</w:t>
      </w:r>
      <w:r>
        <w:rPr>
          <w:sz w:val="28"/>
          <w:szCs w:val="28"/>
        </w:rPr>
        <w:t xml:space="preserve"> та камеральн</w:t>
      </w:r>
      <w:r>
        <w:rPr>
          <w:sz w:val="28"/>
          <w:szCs w:val="28"/>
          <w:lang w:val="uk-UA"/>
        </w:rPr>
        <w:t xml:space="preserve">их</w:t>
      </w:r>
      <w:r>
        <w:rPr>
          <w:sz w:val="28"/>
          <w:szCs w:val="28"/>
        </w:rPr>
        <w:t xml:space="preserve"> роб</w:t>
      </w:r>
      <w:r>
        <w:rPr>
          <w:sz w:val="28"/>
          <w:szCs w:val="28"/>
          <w:lang w:val="uk-UA"/>
        </w:rPr>
        <w:t xml:space="preserve">іт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межах земельної ділянки площею 6 га в місті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Мена Чернігівської області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(кладовище).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 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питав, чи є у депутатів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доповнен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ня. Враховуючи, що зауважень, доповнень не було,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Менської міської ради 8 скликання від 19 грудня 2024 року №728 «Про затвердження Програми підтримки КП «Менакомунпослуга» Менської міської ради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соціальної підтримки жителів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освіти, культури, молоді, фізкультури і спорту. 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соціальної підтримки жителів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спорту. 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210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фінансової підтримки патронатних родин, що функціонують на території Менської міської територіальної громади Чернігівської області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на 2025 рік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про </w:t>
      </w:r>
      <w:r>
        <w:rPr>
          <w:rFonts w:ascii="Times New Roman" w:hAnsi="Times New Roman" w:cs="Times New Roman"/>
          <w:sz w:val="28"/>
          <w:szCs w:val="28"/>
        </w:rPr>
        <w:t xml:space="preserve"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обсяг фінансування на 2025 рік.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проєкт рішення був розглянутий на засіданні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розвитку, житлово-комунального господарства та комунального майна та з питань регламенту, етики, законності та правопорядку,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підтриманий депутатами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lang w:val="uk-UA"/>
        </w:rPr>
      </w:r>
      <w:r>
        <w:rPr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- 1,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взаємодії регіонального сервісного центру ГСЦ МВС в Київській та Чернігівській областях (філія ГСЦ МВС) з Менською міською радою в сфері надання адміністративних послуг населенню на 2025 рік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Враховуючи, що проєкт рішення був розглянутий на засіданні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головуючий поставив на голосування даний проєкт рішення.</w:t>
      </w:r>
      <w:r/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цивільного захисту Менської міської територіальної громади на 2025-2027 роки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виконання рішень суду про стягнення коштів на 2024-2025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спорту. Зауважень, доповнень не надходило,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виконання рішень суду про стягнення коштів на 2024-2025 роки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рішення  сорок</w:t>
      </w:r>
      <w:r>
        <w:rPr>
          <w:rFonts w:ascii="Times New Roman" w:hAnsi="Times New Roman" w:cs="Times New Roman"/>
          <w:sz w:val="28"/>
          <w:szCs w:val="28"/>
        </w:rPr>
        <w:t xml:space="preserve"> восьмої сесії Менської міської ради восьмого скликання від 29 травня 2024 року № 286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про доповнення: про реєстрацію та передачу у господарське відання КП «Менакомунпослуга» одноковшового фронтального навантажувача колісного «КІМА» К 1600, в комплекті з ковшем згідно встановленого порядку.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214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рішення  сорок</w:t>
      </w:r>
      <w:r>
        <w:rPr>
          <w:rFonts w:ascii="Times New Roman" w:hAnsi="Times New Roman" w:cs="Times New Roman"/>
          <w:sz w:val="28"/>
          <w:szCs w:val="28"/>
        </w:rPr>
        <w:t xml:space="preserve"> восьмої сесії Менської міської ради восьмого скликання від 29 травня 2024 року № 286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включення нерухомого майна до Переліку другого типу </w:t>
      </w:r>
      <w:r>
        <w:rPr>
          <w:rFonts w:ascii="Times New Roman" w:hAnsi="Times New Roman" w:cs="Times New Roman"/>
          <w:sz w:val="28"/>
          <w:szCs w:val="28"/>
        </w:rPr>
        <w:t xml:space="preserve">та  передачу</w:t>
      </w:r>
      <w:r>
        <w:rPr>
          <w:rFonts w:ascii="Times New Roman" w:hAnsi="Times New Roman" w:cs="Times New Roman"/>
          <w:sz w:val="28"/>
          <w:szCs w:val="28"/>
        </w:rPr>
        <w:t xml:space="preserve"> його в оренду Головному управлінню ДПС у Чернігівській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Стальниченко Ю.В. повідомив, що пропонується </w:t>
      </w:r>
      <w:r>
        <w:rPr>
          <w:sz w:val="28"/>
          <w:szCs w:val="28"/>
          <w:lang w:val="uk-UA"/>
        </w:rPr>
        <w:t xml:space="preserve">в</w:t>
      </w:r>
      <w:r>
        <w:rPr>
          <w:sz w:val="28"/>
          <w:szCs w:val="28"/>
        </w:rPr>
        <w:t xml:space="preserve">ключити до Переліку другого типу об’єктів комунального майна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Менської міської територіальної громади, нерухоме майно за адресою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вул. Героїв АТО, 9, м. Мена, Чернігівська область, а саме: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поверх: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коридор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30,10 </w:t>
      </w:r>
      <w:r>
        <w:rPr>
          <w:sz w:val="28"/>
          <w:szCs w:val="28"/>
        </w:rPr>
        <w:t xml:space="preserve">м.кв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16,20 м.кв.,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16,30 м.кв.,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42,00 м.кв.,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підсобне приміщення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загальною площею 6,00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м.кв.;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 поверх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- коридор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20,66 м.кв.,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10,68 м.кв.,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14,58 м.кв.,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кабінет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12,03 </w:t>
      </w:r>
      <w:r>
        <w:rPr>
          <w:sz w:val="28"/>
          <w:szCs w:val="28"/>
        </w:rPr>
        <w:t xml:space="preserve">м.кв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зал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22,13 </w:t>
      </w:r>
      <w:r>
        <w:rPr>
          <w:sz w:val="28"/>
          <w:szCs w:val="28"/>
        </w:rPr>
        <w:t xml:space="preserve">м.кв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зал загальною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площею 31,24 м.кв.</w:t>
      </w:r>
      <w:r>
        <w:rPr>
          <w:sz w:val="28"/>
          <w:szCs w:val="28"/>
          <w:lang w:val="uk-UA"/>
        </w:rPr>
        <w:t xml:space="preserve"> для передачі в оренду Головному управлінню Державної податкової служби України у Чернігівській області для розміщення працівників Корюківської ДПІ.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спільному засіданні постійних депутатських комісій,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включення нерухомого майна до Переліку другого типу </w:t>
      </w:r>
      <w:r>
        <w:rPr>
          <w:rFonts w:ascii="Times New Roman" w:hAnsi="Times New Roman" w:cs="Times New Roman"/>
          <w:sz w:val="28"/>
          <w:szCs w:val="28"/>
        </w:rPr>
        <w:t xml:space="preserve">та  передачу</w:t>
      </w:r>
      <w:r>
        <w:rPr>
          <w:rFonts w:ascii="Times New Roman" w:hAnsi="Times New Roman" w:cs="Times New Roman"/>
          <w:sz w:val="28"/>
          <w:szCs w:val="28"/>
        </w:rPr>
        <w:t xml:space="preserve"> його в оренду Головному управлінню ДПС у Чернігівській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Відділу соціального захисту населення та охорони здоров’я Менської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майна</w:t>
      </w:r>
      <w:r>
        <w:rPr>
          <w:rFonts w:ascii="Times New Roman" w:hAnsi="Times New Roman" w:cs="Times New Roman"/>
          <w:sz w:val="28"/>
          <w:szCs w:val="28"/>
        </w:rPr>
        <w:t xml:space="preserve"> в с. Волосківці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питань планування, фінансів, бюджету, соціально-економічного розвитку, житлово-комунального господарства та комунального майна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оперативне управління Відділу соціального захисту населення та охорони здоров’я Менської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майна</w:t>
      </w:r>
      <w:r>
        <w:rPr>
          <w:rFonts w:ascii="Times New Roman" w:hAnsi="Times New Roman" w:cs="Times New Roman"/>
          <w:sz w:val="28"/>
          <w:szCs w:val="28"/>
        </w:rPr>
        <w:t xml:space="preserve"> в с. Волосківці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право оперативного управління Комунальної установи «Центр професійного розвитку педагогічних працівників»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 -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право оперативного управління Комунальної установи «Центр професійного розвитку педагогічних працівників»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право оперативного управління Відділу соціального захисту населення та охорони здоров’я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</w:t>
      </w:r>
      <w:r>
        <w:rPr>
          <w:rFonts w:ascii="Times New Roman" w:hAnsi="Times New Roman" w:cs="Times New Roman"/>
          <w:sz w:val="28"/>
          <w:szCs w:val="28"/>
        </w:rPr>
        <w:t xml:space="preserve">проєкт рішення був розглянутий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</w:t>
      </w:r>
      <w:r>
        <w:rPr>
          <w:rFonts w:ascii="Times New Roman" w:hAnsi="Times New Roman" w:cs="Times New Roman"/>
          <w:sz w:val="28"/>
          <w:szCs w:val="28"/>
        </w:rPr>
        <w:t xml:space="preserve">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право оперативного управління Відділу соціального захисту населення та охорони здоров’я Менської міської ради на частину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підтримки ветеранів війни, Захисників та Захисниць України, членів їх сімей загиблих(померлих) ветеранів війни, об’єднань ветеранів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 -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219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підтримки ветеранів війни, Захисників та Захисниць України, членів їх сімей загиблих(померлих) ветеранів війни, об’єднань ветеранів Менської міської територіальної громади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зміни в організаційній </w:t>
      </w:r>
      <w:r>
        <w:rPr>
          <w:rFonts w:ascii="Times New Roman" w:hAnsi="Times New Roman" w:cs="Times New Roman"/>
          <w:sz w:val="28"/>
          <w:szCs w:val="28"/>
        </w:rPr>
        <w:t xml:space="preserve">структурі  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Менська міська 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засіданні постійних депутатських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 -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зміни в організаційній </w:t>
      </w:r>
      <w:r>
        <w:rPr>
          <w:rFonts w:ascii="Times New Roman" w:hAnsi="Times New Roman" w:cs="Times New Roman"/>
          <w:sz w:val="28"/>
          <w:szCs w:val="28"/>
        </w:rPr>
        <w:t xml:space="preserve">структурі  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Менська міська лікарня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субвенції з бюджету Менської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до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Регіональний сервісний центр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</w:t>
      </w:r>
      <w:r>
        <w:rPr>
          <w:rFonts w:ascii="Times New Roman" w:hAnsi="Times New Roman" w:cs="Times New Roman"/>
          <w:sz w:val="28"/>
          <w:szCs w:val="28"/>
        </w:rPr>
        <w:t xml:space="preserve">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був підтриманий депутатами, і</w:t>
      </w:r>
      <w:r>
        <w:rPr>
          <w:rFonts w:ascii="Times New Roman" w:hAnsi="Times New Roman" w:cs="Times New Roman"/>
          <w:sz w:val="28"/>
          <w:szCs w:val="28"/>
        </w:rPr>
        <w:t xml:space="preserve">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субвенції з бюджету Менської міської територіальної громади до державного бюджету Регіональний сервісний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56 сесії Менської міської ради 8 скликання від 19 грудня 2024 року № 750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Нерослик А.П. про зміни до бюджету 2025 року.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був підтриманий депутатами.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</w:rPr>
        <w:t xml:space="preserve">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56 сесії Менської міської ради 8 скликання від 19 грудня 2024 року № </w:t>
      </w:r>
      <w:r>
        <w:rPr>
          <w:rFonts w:ascii="Times New Roman" w:hAnsi="Times New Roman" w:cs="Times New Roman"/>
          <w:sz w:val="28"/>
          <w:szCs w:val="28"/>
        </w:rPr>
        <w:t xml:space="preserve">750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ПРИЙНЯТО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порядок складання, затвердження та контролю виконання фінансових планів комунальних некомерційних підприємств в галузі охорони здоров’я, що належать до комунальної власності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депутатами були внесені технічні правки.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технічними правками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223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порядок складання, затвердження та контролю виконання фінансових планів комунальних некомерційних підприємств в галузі охорони здоров’я, що належать до комунальної власності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утворення віддаленого робочого місця спеціаліста відділу «Центр надання адміністративних послуг»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про створення віддаленого робочого місця спеціаліста відділу «Центр надання адміністративних послуг» Менської міської ради із розміщенням його в с. Волосківці.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рофіль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депутатської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підтриманий депутатами, </w:t>
      </w: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224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утворення віддаленого робочого місця спеціаліста відділу «Центр надання адміністративних послуг»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господарського відання КП «Менакомунпослуга» на транспортний засіб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права господарського відання КП «Менакомунпослуга» на транспортний засіб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ліквідаційного балансу Комунального сільськогосподарського підприємства «Агро Титан»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226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ліквідаційного балансу Комунального сільськогосподарського підприємства «Агро Титан»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фізичної культури і спорту в закладах освіти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звіт про виконання Програми </w:t>
      </w:r>
      <w:r>
        <w:rPr>
          <w:rFonts w:ascii="Times New Roman" w:hAnsi="Times New Roman" w:cs="Times New Roman"/>
          <w:sz w:val="28"/>
          <w:szCs w:val="28"/>
        </w:rPr>
        <w:t xml:space="preserve">розвитку фізичної культури і спорту в закладах освіти на 2025 – 2027 роки за 3 місяці 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заслухано на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розвитку фізичної культури і спорту в закладах освіти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обдарованої учнівської молоді та творчих педагогів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й: з питань планування, фінансів, бюджету, соціально-економічного розвитку, житлово-комунального господарства та комунального майна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охорони здоров’я, соціального захисту населення,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228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підтримки та розвитку обдарованої учнівської молоді та творчих педагогів на 2025 – 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  організації харчування дітей в закладах загальної середньої освіти Менської міської ради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2025-2027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231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організації харчування дітей в закладах дошкільної освіти Менської міської ради на 2025-2027 роки за 3 місяці 2025 року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   розвитку    позашкільної    освіти   </w:t>
      </w:r>
      <w:r>
        <w:rPr>
          <w:rFonts w:ascii="Times New Roman" w:hAnsi="Times New Roman" w:cs="Times New Roman"/>
          <w:sz w:val="28"/>
          <w:szCs w:val="28"/>
        </w:rPr>
        <w:t xml:space="preserve">на  2025</w:t>
      </w:r>
      <w:r>
        <w:rPr>
          <w:rFonts w:ascii="Times New Roman" w:hAnsi="Times New Roman" w:cs="Times New Roman"/>
          <w:sz w:val="28"/>
          <w:szCs w:val="28"/>
        </w:rPr>
        <w:t xml:space="preserve">-2027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 Програми    розвитку    позашкільної    освіти   </w:t>
      </w:r>
      <w:r>
        <w:rPr>
          <w:rFonts w:ascii="Times New Roman" w:hAnsi="Times New Roman" w:cs="Times New Roman"/>
          <w:sz w:val="28"/>
          <w:szCs w:val="28"/>
        </w:rPr>
        <w:t xml:space="preserve">на  2025</w:t>
      </w:r>
      <w:r>
        <w:rPr>
          <w:rFonts w:ascii="Times New Roman" w:hAnsi="Times New Roman" w:cs="Times New Roman"/>
          <w:sz w:val="28"/>
          <w:szCs w:val="28"/>
        </w:rPr>
        <w:t xml:space="preserve">-2027  роки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 виконання</w:t>
      </w:r>
      <w:r>
        <w:rPr>
          <w:rFonts w:ascii="Times New Roman" w:hAnsi="Times New Roman" w:cs="Times New Roman"/>
          <w:sz w:val="28"/>
          <w:szCs w:val="28"/>
        </w:rPr>
        <w:t xml:space="preserve">  Програми національно-патріотичного виховання на 2025 – 2027  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233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виконання</w:t>
      </w:r>
      <w:r>
        <w:rPr>
          <w:rFonts w:ascii="Times New Roman" w:hAnsi="Times New Roman" w:cs="Times New Roman"/>
          <w:sz w:val="28"/>
          <w:szCs w:val="28"/>
        </w:rPr>
        <w:t xml:space="preserve"> Програми національно-патріотичного виховання на 2025 – 2027  роки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квартири в оперативне управління КНП «Менська міська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оперативне </w:t>
      </w:r>
      <w:r>
        <w:rPr>
          <w:rFonts w:ascii="Times New Roman" w:hAnsi="Times New Roman" w:cs="Times New Roman"/>
          <w:sz w:val="28"/>
          <w:szCs w:val="28"/>
        </w:rPr>
        <w:t xml:space="preserve">управління КНП «Менська міська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квартири, що належить до комунальної власності Менської міської територіальної громади, для забезпечення житлом медичних працівників.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і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234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квартири в оперативне управління КНП «Менська міська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розроблення де</w:t>
      </w:r>
      <w:r>
        <w:rPr>
          <w:rFonts w:ascii="Times New Roman" w:hAnsi="Times New Roman" w:cs="Times New Roman"/>
          <w:sz w:val="28"/>
          <w:szCs w:val="28"/>
        </w:rPr>
        <w:t xml:space="preserve">тального плану території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розроблення де</w:t>
      </w:r>
      <w:r>
        <w:rPr>
          <w:rFonts w:ascii="Times New Roman" w:hAnsi="Times New Roman" w:cs="Times New Roman"/>
          <w:sz w:val="28"/>
          <w:szCs w:val="28"/>
        </w:rPr>
        <w:t xml:space="preserve">тального плану території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Плану дій зі зміцнення потенціалу надавати соціальні послуги в Менській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 про напрямки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стратегічні цілі </w:t>
      </w:r>
      <w:r>
        <w:rPr>
          <w:rFonts w:ascii="Times New Roman" w:hAnsi="Times New Roman" w:cs="Times New Roman"/>
          <w:sz w:val="28"/>
          <w:szCs w:val="28"/>
        </w:rPr>
        <w:t xml:space="preserve">Плану дій зі зміцнення потенціалу надавати соціальні послуги в Менській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cs="Times New Roman"/>
          <w:sz w:val="28"/>
          <w:szCs w:val="28"/>
        </w:rPr>
        <w:t xml:space="preserve">,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236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Плану дій зі зміцнення потенціалу надавати соціальні послуги в Менській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ділянки, яка перебуває в оренді ФГ «СВІТАНОК ЧЕРНІГІВЩИНИ»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ділянки, яка перебуває в о</w:t>
      </w:r>
      <w:r>
        <w:rPr>
          <w:rFonts w:ascii="Times New Roman" w:hAnsi="Times New Roman" w:cs="Times New Roman"/>
          <w:sz w:val="28"/>
          <w:szCs w:val="28"/>
        </w:rPr>
        <w:t xml:space="preserve">ренді ФГ «СВІТАНОК ЧЕРНІГІВЩИНИ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238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239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в оренду ФГ «Погребний»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надання згоди на передачу орендованої земельної ділянки в суборенду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згоди на передачу орендованої земельної ділянки в суборенду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ТОВ «Агроресурс-2006» та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ТОВ «Агроресурс-2006» та внесення змін </w:t>
      </w:r>
      <w:r>
        <w:rPr>
          <w:rFonts w:ascii="Times New Roman" w:hAnsi="Times New Roman" w:cs="Times New Roman"/>
          <w:sz w:val="28"/>
          <w:szCs w:val="28"/>
        </w:rPr>
        <w:t xml:space="preserve">до договору</w:t>
      </w:r>
      <w:r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оренду земельної ділянки Донцю П.В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в оренду земельної ділянки Донцю П.В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укладання договору оренди землі з СТОВ «ОЛСТАС-ЛЬОН» на новий строк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pBdr/>
        <w:spacing w:after="0" w:afterAutospacing="0" w:before="0" w:beforeAutospacing="0" w:line="240" w:lineRule="auto"/>
        <w:ind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Чепурко С.О. </w:t>
      </w:r>
      <w:r>
        <w:rPr>
          <w:color w:val="000000"/>
          <w:sz w:val="28"/>
          <w:szCs w:val="28"/>
          <w:lang w:val="uk-UA"/>
        </w:rPr>
        <w:t xml:space="preserve">заяви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>
        <w:rPr>
          <w:sz w:val="28"/>
          <w:szCs w:val="28"/>
        </w:rPr>
        <w:t xml:space="preserve"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укладання договору оренди землі з СТОВ «ОЛСТАС-ЛЬОН» на новий строк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ділянки, розміщеної в с. Стольне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ділянки, розміщеної в с. Стольне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 xml:space="preserve">на 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проекту землеустрою щодо відведення    земельної ділянки для надання в оренду  АТ «ЧЕРНІГІВОБЛЕНЕРГО»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 xml:space="preserve">на 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проекту землеустрою щодо відведення земельної ділянки для надання в оренду АТ «ЧЕРНІГІВОБЛЕНЕРГО»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проекту землеустрою щодо відведення земельної ділянки по зміні цільового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проекту землеустрою щодо відведення земельної ділянки по зміні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технічної документації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250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виготовлення технічної документації із землеустрою щодо інвентаризації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право оренди якої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251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право оренди якої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- 1,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проєктів землеустрою щодо відведення земельних ділянок з метою передачі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254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проєктів землеустрою щодо відведення земельних ділянок з метою передачі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(аукціону)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ГРІН-ГРОСЕРІ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</w:t>
      </w:r>
      <w:r>
        <w:rPr>
          <w:rFonts w:ascii="Times New Roman" w:hAnsi="Times New Roman" w:cs="Times New Roman"/>
          <w:sz w:val="28"/>
          <w:szCs w:val="28"/>
        </w:rPr>
        <w:t xml:space="preserve">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 </w:t>
      </w:r>
      <w:r>
        <w:rPr>
          <w:rFonts w:ascii="Times New Roman" w:hAnsi="Times New Roman" w:cs="Times New Roman"/>
          <w:sz w:val="28"/>
          <w:szCs w:val="28"/>
        </w:rPr>
        <w:t xml:space="preserve">зауважень до проєкту рішення не надходило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ТОВ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ГРІН-ГРОСЕРІ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</w:t>
      </w:r>
      <w:r>
        <w:rPr>
          <w:rFonts w:ascii="Times New Roman" w:hAnsi="Times New Roman" w:cs="Times New Roman"/>
          <w:sz w:val="28"/>
          <w:szCs w:val="28"/>
        </w:rPr>
        <w:t xml:space="preserve">земельних ділянок (невитребуваних паїв) з подальшою передачею в оренду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Процел О.Г. на виготовлення документації із землеустрою з метою передачі земельної ділянки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Процел О.Г. на виготовлення документації із землеустрою з метою передачі земельної ділянки в оренду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право користування земельними ділянками наданими для особисто селянського господарства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припинення право користування земельними ділянками наданими для особисто селянського господарства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59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КНП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ПМСД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КНП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МЕНСЬКИЙ ЦЕНТР ПМСД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МЕНСЬКОМУ ЗДО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ДИТЯЧА АКАДЕМІЯ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МЕНСЬКОМУ ЗДО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ДИТЯЧА АКАДЕМІЯ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технічних документацій із землеустрою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в постійне користування Опорному закладу Менська гімназія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МАРИНА-М</w:t>
      </w:r>
      <w:r>
        <w:rPr>
          <w:rFonts w:ascii="Times New Roman" w:hAnsi="Times New Roman" w:cs="Times New Roman"/>
          <w:sz w:val="28"/>
          <w:szCs w:val="28"/>
        </w:rPr>
        <w:t xml:space="preserve">» технічної документації із землеустрою по встановленню (відновленню) меж земельної ділянки за межами с. Волосківці та внесення змін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МАРИНА-М</w:t>
      </w:r>
      <w:r>
        <w:rPr>
          <w:rFonts w:ascii="Times New Roman" w:hAnsi="Times New Roman" w:cs="Times New Roman"/>
          <w:sz w:val="28"/>
          <w:szCs w:val="28"/>
        </w:rPr>
        <w:t xml:space="preserve">» технічної документації із землеустрою по встановленню (відновленню) меж земельної ділянки за межами с. Волосківці та внесення змін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</w:t>
      </w:r>
      <w:r>
        <w:rPr>
          <w:rFonts w:ascii="Times New Roman" w:hAnsi="Times New Roman" w:cs="Times New Roman"/>
          <w:sz w:val="28"/>
          <w:szCs w:val="28"/>
        </w:rPr>
        <w:t xml:space="preserve">документації  із</w:t>
      </w:r>
      <w:r>
        <w:rPr>
          <w:rFonts w:ascii="Times New Roman" w:hAnsi="Times New Roman" w:cs="Times New Roman"/>
          <w:sz w:val="28"/>
          <w:szCs w:val="28"/>
        </w:rPr>
        <w:t xml:space="preserve"> землеустрою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 подальшою передачею невитребуваних земельних ділянок в оренду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 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</w:t>
      </w:r>
      <w:r>
        <w:rPr>
          <w:rFonts w:ascii="Times New Roman" w:hAnsi="Times New Roman" w:cs="Times New Roman"/>
          <w:sz w:val="28"/>
          <w:szCs w:val="28"/>
        </w:rPr>
        <w:t xml:space="preserve">документації  із</w:t>
      </w:r>
      <w:r>
        <w:rPr>
          <w:rFonts w:ascii="Times New Roman" w:hAnsi="Times New Roman" w:cs="Times New Roman"/>
          <w:sz w:val="28"/>
          <w:szCs w:val="28"/>
        </w:rPr>
        <w:t xml:space="preserve"> землеустрою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 подальшою передачею невитребуваних земельних ділянок в оренду</w:t>
      </w:r>
      <w:r>
        <w:rPr>
          <w:rFonts w:ascii="Times New Roman" w:hAnsi="Times New Roman" w:cs="Times New Roman"/>
          <w:sz w:val="28"/>
          <w:szCs w:val="28"/>
        </w:rPr>
        <w:t xml:space="preserve">» 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невитребуваних земельних ділянок (паїв) в оренду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невитребуваних земельних ділянок (паїв) в оренду ФГ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ЕКОЛАЙФ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 межами с. Ліски</w:t>
      </w:r>
      <w:r>
        <w:rPr>
          <w:rFonts w:ascii="Times New Roman" w:hAnsi="Times New Roman" w:cs="Times New Roman"/>
          <w:sz w:val="28"/>
          <w:szCs w:val="28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зміну координат земельної ділянки комунальної власності за межами селища Садове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запитав, чи є у депутатів запитання, зауваження, доповнення </w:t>
      </w:r>
      <w:r>
        <w:rPr>
          <w:rFonts w:ascii="Times New Roman" w:hAnsi="Times New Roman" w:cs="Times New Roman"/>
          <w:sz w:val="28"/>
          <w:szCs w:val="28"/>
        </w:rPr>
        <w:t xml:space="preserve">до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рішення. Враховуючи, що проєкт рішення був розглянутий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містобудування, будівництва, земельних відносин та охорони природи,</w:t>
      </w:r>
      <w:r>
        <w:rPr>
          <w:rFonts w:ascii="Times New Roman" w:hAnsi="Times New Roman" w:cs="Times New Roman"/>
          <w:sz w:val="28"/>
          <w:szCs w:val="28"/>
        </w:rPr>
        <w:t xml:space="preserve"> зауважень до проєкту рішення не надходило, 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зміну координат земельної ділянки комунальної власності за межами селища Садове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питання, які включені </w:t>
      </w:r>
      <w:r>
        <w:rPr>
          <w:rFonts w:ascii="Times New Roman" w:hAnsi="Times New Roman" w:cs="Times New Roman"/>
          <w:sz w:val="28"/>
          <w:szCs w:val="28"/>
        </w:rPr>
        <w:t xml:space="preserve">до порядку</w:t>
      </w:r>
      <w:r>
        <w:rPr>
          <w:rFonts w:ascii="Times New Roman" w:hAnsi="Times New Roman" w:cs="Times New Roman"/>
          <w:sz w:val="28"/>
          <w:szCs w:val="28"/>
        </w:rPr>
        <w:t xml:space="preserve"> денного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-ї сесії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 8 скликання, розглянуті.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закрит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</w:t>
      </w:r>
      <w:r>
        <w:rPr>
          <w:rFonts w:ascii="Times New Roman" w:hAnsi="Times New Roman" w:cs="Times New Roman"/>
          <w:sz w:val="28"/>
          <w:szCs w:val="28"/>
        </w:rPr>
        <w:t xml:space="preserve"> сесі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</w:t>
      </w:r>
      <w:r>
        <w:rPr>
          <w:rFonts w:ascii="Times New Roman" w:hAnsi="Times New Roman" w:cs="Times New Roman"/>
          <w:sz w:val="28"/>
          <w:szCs w:val="28"/>
        </w:rPr>
        <w:t xml:space="preserve"> Менської 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521"/>
        </w:tabs>
        <w:spacing w:after="0" w:afterAutospacing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2710617"/>
      <w:docPartObj>
        <w:docPartGallery w:val="Page Numbers (Top of Page)"/>
        <w:docPartUnique w:val="true"/>
      </w:docPartObj>
      <w:rPr/>
    </w:sdtPr>
    <w:sdtContent>
      <w:p>
        <w:pPr>
          <w:pStyle w:val="898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32</w:t>
        </w:r>
        <w:r>
          <w:fldChar w:fldCharType="end"/>
        </w:r>
        <w:r/>
      </w:p>
    </w:sdtContent>
  </w:sdt>
  <w:p>
    <w:pPr>
      <w:pStyle w:val="898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5">
    <w:name w:val="Table Grid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1">
    <w:name w:val="Heading 1 Char"/>
    <w:basedOn w:val="886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2">
    <w:name w:val="Heading 2 Char"/>
    <w:basedOn w:val="886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3">
    <w:name w:val="Heading 3 Char"/>
    <w:basedOn w:val="886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4">
    <w:name w:val="Heading 4 Char"/>
    <w:basedOn w:val="886"/>
    <w:link w:val="8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5">
    <w:name w:val="Heading 5 Char"/>
    <w:basedOn w:val="886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6">
    <w:name w:val="Heading 6 Char"/>
    <w:basedOn w:val="886"/>
    <w:link w:val="88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7">
    <w:name w:val="Heading 7 Char"/>
    <w:basedOn w:val="886"/>
    <w:link w:val="88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8">
    <w:name w:val="Heading 8 Char"/>
    <w:basedOn w:val="886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9">
    <w:name w:val="Heading 9 Char"/>
    <w:basedOn w:val="886"/>
    <w:link w:val="8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Title Char"/>
    <w:basedOn w:val="886"/>
    <w:link w:val="9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61">
    <w:name w:val="Subtitle Char"/>
    <w:basedOn w:val="886"/>
    <w:link w:val="9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2">
    <w:name w:val="Quote Char"/>
    <w:basedOn w:val="886"/>
    <w:link w:val="9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Intense Emphasis"/>
    <w:basedOn w:val="8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Quote Char"/>
    <w:basedOn w:val="886"/>
    <w:link w:val="91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5">
    <w:name w:val="Intense Reference"/>
    <w:basedOn w:val="8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6">
    <w:name w:val="Subtle Emphasis"/>
    <w:basedOn w:val="8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86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86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8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Caption"/>
    <w:basedOn w:val="876"/>
    <w:next w:val="8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72">
    <w:name w:val="Footnote Text Char"/>
    <w:basedOn w:val="886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Endnote Text Char"/>
    <w:basedOn w:val="886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8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FollowedHyperlink"/>
    <w:basedOn w:val="8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6" w:default="1">
    <w:name w:val="Normal"/>
    <w:qFormat/>
    <w:pPr>
      <w:pBdr/>
      <w:spacing/>
      <w:ind/>
    </w:pPr>
  </w:style>
  <w:style w:type="paragraph" w:styleId="877">
    <w:name w:val="Heading 1"/>
    <w:basedOn w:val="876"/>
    <w:next w:val="876"/>
    <w:link w:val="88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78">
    <w:name w:val="Heading 2"/>
    <w:basedOn w:val="876"/>
    <w:next w:val="876"/>
    <w:link w:val="89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79">
    <w:name w:val="Heading 3"/>
    <w:basedOn w:val="876"/>
    <w:next w:val="876"/>
    <w:link w:val="89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80">
    <w:name w:val="Heading 4"/>
    <w:basedOn w:val="876"/>
    <w:next w:val="876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1">
    <w:name w:val="Heading 5"/>
    <w:basedOn w:val="876"/>
    <w:next w:val="876"/>
    <w:link w:val="8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2">
    <w:name w:val="Heading 6"/>
    <w:basedOn w:val="876"/>
    <w:next w:val="876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883">
    <w:name w:val="Heading 7"/>
    <w:basedOn w:val="876"/>
    <w:next w:val="876"/>
    <w:link w:val="89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884">
    <w:name w:val="Heading 8"/>
    <w:basedOn w:val="876"/>
    <w:next w:val="876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885">
    <w:name w:val="Heading 9"/>
    <w:basedOn w:val="876"/>
    <w:next w:val="876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6" w:default="1">
    <w:name w:val="Default Paragraph Font"/>
    <w:uiPriority w:val="1"/>
    <w:semiHidden/>
    <w:unhideWhenUsed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character" w:styleId="889" w:customStyle="1">
    <w:name w:val="Заголовок 1 Знак"/>
    <w:basedOn w:val="886"/>
    <w:link w:val="87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0" w:customStyle="1">
    <w:name w:val="Заголовок 2 Знак"/>
    <w:basedOn w:val="886"/>
    <w:link w:val="87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1" w:customStyle="1">
    <w:name w:val="Заголовок 3 Знак"/>
    <w:basedOn w:val="886"/>
    <w:link w:val="87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2" w:customStyle="1">
    <w:name w:val="Заголовок 4 Знак"/>
    <w:basedOn w:val="886"/>
    <w:link w:val="8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3" w:customStyle="1">
    <w:name w:val="Заголовок 5 Знак"/>
    <w:basedOn w:val="886"/>
    <w:link w:val="88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94" w:customStyle="1">
    <w:name w:val="Заголовок 6 Знак"/>
    <w:basedOn w:val="886"/>
    <w:link w:val="882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895" w:customStyle="1">
    <w:name w:val="Заголовок 7 Знак"/>
    <w:basedOn w:val="886"/>
    <w:link w:val="883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896" w:customStyle="1">
    <w:name w:val="Заголовок 8 Знак"/>
    <w:basedOn w:val="886"/>
    <w:link w:val="884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897" w:customStyle="1">
    <w:name w:val="Заголовок 9 Знак"/>
    <w:basedOn w:val="886"/>
    <w:link w:val="88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8">
    <w:name w:val="Header"/>
    <w:basedOn w:val="876"/>
    <w:link w:val="89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9" w:customStyle="1">
    <w:name w:val="Верхний колонтитул Знак"/>
    <w:basedOn w:val="886"/>
    <w:link w:val="898"/>
    <w:uiPriority w:val="99"/>
    <w:pPr>
      <w:pBdr/>
      <w:spacing/>
      <w:ind/>
    </w:pPr>
  </w:style>
  <w:style w:type="paragraph" w:styleId="900">
    <w:name w:val="Footer"/>
    <w:basedOn w:val="876"/>
    <w:link w:val="90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1" w:customStyle="1">
    <w:name w:val="Нижний колонтитул Знак"/>
    <w:basedOn w:val="886"/>
    <w:link w:val="900"/>
    <w:uiPriority w:val="99"/>
    <w:pPr>
      <w:pBdr/>
      <w:spacing/>
      <w:ind/>
    </w:pPr>
  </w:style>
  <w:style w:type="paragraph" w:styleId="902">
    <w:name w:val="List Paragraph"/>
    <w:basedOn w:val="876"/>
    <w:uiPriority w:val="34"/>
    <w:qFormat/>
    <w:pPr>
      <w:pBdr/>
      <w:spacing/>
      <w:ind w:left="720"/>
      <w:contextualSpacing w:val="true"/>
    </w:pPr>
  </w:style>
  <w:style w:type="paragraph" w:styleId="903">
    <w:name w:val="No Spacing"/>
    <w:uiPriority w:val="1"/>
    <w:qFormat/>
    <w:pPr>
      <w:pBdr/>
      <w:spacing w:after="0" w:line="240" w:lineRule="auto"/>
      <w:ind/>
    </w:pPr>
  </w:style>
  <w:style w:type="paragraph" w:styleId="904">
    <w:name w:val="Title"/>
    <w:basedOn w:val="876"/>
    <w:next w:val="876"/>
    <w:link w:val="90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5" w:customStyle="1">
    <w:name w:val="Заголовок Знак"/>
    <w:basedOn w:val="886"/>
    <w:link w:val="904"/>
    <w:uiPriority w:val="10"/>
    <w:pPr>
      <w:pBdr/>
      <w:spacing/>
      <w:ind/>
    </w:pPr>
    <w:rPr>
      <w:sz w:val="48"/>
      <w:szCs w:val="48"/>
    </w:rPr>
  </w:style>
  <w:style w:type="paragraph" w:styleId="906">
    <w:name w:val="Subtitle"/>
    <w:basedOn w:val="876"/>
    <w:next w:val="876"/>
    <w:link w:val="90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7" w:customStyle="1">
    <w:name w:val="Подзаголовок Знак"/>
    <w:basedOn w:val="886"/>
    <w:link w:val="906"/>
    <w:uiPriority w:val="11"/>
    <w:pPr>
      <w:pBdr/>
      <w:spacing/>
      <w:ind/>
    </w:pPr>
    <w:rPr>
      <w:sz w:val="24"/>
      <w:szCs w:val="24"/>
    </w:rPr>
  </w:style>
  <w:style w:type="paragraph" w:styleId="908">
    <w:name w:val="Quote"/>
    <w:basedOn w:val="876"/>
    <w:next w:val="876"/>
    <w:link w:val="909"/>
    <w:uiPriority w:val="29"/>
    <w:qFormat/>
    <w:pPr>
      <w:pBdr/>
      <w:spacing/>
      <w:ind w:right="720" w:left="720"/>
    </w:pPr>
    <w:rPr>
      <w:i/>
    </w:rPr>
  </w:style>
  <w:style w:type="character" w:styleId="909" w:customStyle="1">
    <w:name w:val="Цитата 2 Знак"/>
    <w:basedOn w:val="886"/>
    <w:link w:val="908"/>
    <w:uiPriority w:val="29"/>
    <w:pPr>
      <w:pBdr/>
      <w:spacing/>
      <w:ind/>
    </w:pPr>
    <w:rPr>
      <w:i/>
    </w:rPr>
  </w:style>
  <w:style w:type="paragraph" w:styleId="910">
    <w:name w:val="Intense Quote"/>
    <w:basedOn w:val="876"/>
    <w:next w:val="876"/>
    <w:link w:val="9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1" w:customStyle="1">
    <w:name w:val="Выделенная цитата Знак"/>
    <w:basedOn w:val="886"/>
    <w:link w:val="910"/>
    <w:uiPriority w:val="30"/>
    <w:pPr>
      <w:pBdr/>
      <w:spacing/>
      <w:ind/>
    </w:pPr>
    <w:rPr>
      <w:i/>
      <w:shd w:val="clear" w:color="auto" w:fill="f2f2f2"/>
    </w:rPr>
  </w:style>
  <w:style w:type="character" w:styleId="912" w:customStyle="1">
    <w:name w:val="Header Char"/>
    <w:basedOn w:val="886"/>
    <w:uiPriority w:val="99"/>
    <w:pPr>
      <w:pBdr/>
      <w:spacing/>
      <w:ind/>
    </w:pPr>
  </w:style>
  <w:style w:type="character" w:styleId="913" w:customStyle="1">
    <w:name w:val="Footer Char"/>
    <w:basedOn w:val="886"/>
    <w:uiPriority w:val="99"/>
    <w:pPr>
      <w:pBdr/>
      <w:spacing/>
      <w:ind/>
    </w:pPr>
  </w:style>
  <w:style w:type="character" w:styleId="914" w:customStyle="1">
    <w:name w:val="Caption Char"/>
    <w:uiPriority w:val="99"/>
    <w:pPr>
      <w:pBdr/>
      <w:spacing/>
      <w:ind/>
    </w:pPr>
  </w:style>
  <w:style w:type="character" w:styleId="915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6" w:customStyle="1">
    <w:name w:val="Текст сноски Знак"/>
    <w:basedOn w:val="886"/>
    <w:link w:val="917"/>
    <w:uiPriority w:val="99"/>
    <w:semiHidden/>
    <w:pPr>
      <w:pBdr/>
      <w:spacing/>
      <w:ind/>
    </w:pPr>
    <w:rPr>
      <w:sz w:val="18"/>
    </w:rPr>
  </w:style>
  <w:style w:type="paragraph" w:styleId="917">
    <w:name w:val="footnote text"/>
    <w:basedOn w:val="876"/>
    <w:link w:val="9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8">
    <w:name w:val="footnote reference"/>
    <w:basedOn w:val="886"/>
    <w:uiPriority w:val="99"/>
    <w:unhideWhenUsed/>
    <w:pPr>
      <w:pBdr/>
      <w:spacing/>
      <w:ind/>
    </w:pPr>
    <w:rPr>
      <w:vertAlign w:val="superscript"/>
    </w:rPr>
  </w:style>
  <w:style w:type="character" w:styleId="919" w:customStyle="1">
    <w:name w:val="Текст концевой сноски Знак"/>
    <w:basedOn w:val="886"/>
    <w:link w:val="920"/>
    <w:uiPriority w:val="99"/>
    <w:semiHidden/>
    <w:pPr>
      <w:pBdr/>
      <w:spacing/>
      <w:ind/>
    </w:pPr>
    <w:rPr>
      <w:sz w:val="20"/>
    </w:rPr>
  </w:style>
  <w:style w:type="paragraph" w:styleId="920">
    <w:name w:val="endnote text"/>
    <w:basedOn w:val="876"/>
    <w:link w:val="9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921">
    <w:name w:val="toc 1"/>
    <w:basedOn w:val="876"/>
    <w:next w:val="876"/>
    <w:uiPriority w:val="39"/>
    <w:unhideWhenUsed/>
    <w:pPr>
      <w:pBdr/>
      <w:spacing w:after="57"/>
      <w:ind/>
    </w:pPr>
  </w:style>
  <w:style w:type="paragraph" w:styleId="922">
    <w:name w:val="toc 2"/>
    <w:basedOn w:val="876"/>
    <w:next w:val="876"/>
    <w:uiPriority w:val="39"/>
    <w:unhideWhenUsed/>
    <w:pPr>
      <w:pBdr/>
      <w:spacing w:after="57"/>
      <w:ind w:left="283"/>
    </w:pPr>
  </w:style>
  <w:style w:type="paragraph" w:styleId="923">
    <w:name w:val="toc 3"/>
    <w:basedOn w:val="876"/>
    <w:next w:val="876"/>
    <w:uiPriority w:val="39"/>
    <w:unhideWhenUsed/>
    <w:pPr>
      <w:pBdr/>
      <w:spacing w:after="57"/>
      <w:ind w:left="567"/>
    </w:pPr>
  </w:style>
  <w:style w:type="paragraph" w:styleId="924">
    <w:name w:val="toc 4"/>
    <w:basedOn w:val="876"/>
    <w:next w:val="876"/>
    <w:uiPriority w:val="39"/>
    <w:unhideWhenUsed/>
    <w:pPr>
      <w:pBdr/>
      <w:spacing w:after="57"/>
      <w:ind w:left="850"/>
    </w:pPr>
  </w:style>
  <w:style w:type="paragraph" w:styleId="925">
    <w:name w:val="toc 5"/>
    <w:basedOn w:val="876"/>
    <w:next w:val="876"/>
    <w:uiPriority w:val="39"/>
    <w:unhideWhenUsed/>
    <w:pPr>
      <w:pBdr/>
      <w:spacing w:after="57"/>
      <w:ind w:left="1134"/>
    </w:pPr>
  </w:style>
  <w:style w:type="paragraph" w:styleId="926">
    <w:name w:val="toc 6"/>
    <w:basedOn w:val="876"/>
    <w:next w:val="876"/>
    <w:uiPriority w:val="39"/>
    <w:unhideWhenUsed/>
    <w:pPr>
      <w:pBdr/>
      <w:spacing w:after="57"/>
      <w:ind w:left="1417"/>
    </w:pPr>
  </w:style>
  <w:style w:type="paragraph" w:styleId="927">
    <w:name w:val="toc 7"/>
    <w:basedOn w:val="876"/>
    <w:next w:val="876"/>
    <w:uiPriority w:val="39"/>
    <w:unhideWhenUsed/>
    <w:pPr>
      <w:pBdr/>
      <w:spacing w:after="57"/>
      <w:ind w:left="1701"/>
    </w:pPr>
  </w:style>
  <w:style w:type="paragraph" w:styleId="928">
    <w:name w:val="toc 8"/>
    <w:basedOn w:val="876"/>
    <w:next w:val="876"/>
    <w:uiPriority w:val="39"/>
    <w:unhideWhenUsed/>
    <w:pPr>
      <w:pBdr/>
      <w:spacing w:after="57"/>
      <w:ind w:left="1984"/>
    </w:pPr>
  </w:style>
  <w:style w:type="paragraph" w:styleId="929">
    <w:name w:val="toc 9"/>
    <w:basedOn w:val="876"/>
    <w:next w:val="876"/>
    <w:uiPriority w:val="39"/>
    <w:unhideWhenUsed/>
    <w:pPr>
      <w:pBdr/>
      <w:spacing w:after="57"/>
      <w:ind w:left="2268"/>
    </w:pPr>
  </w:style>
  <w:style w:type="paragraph" w:styleId="930">
    <w:name w:val="TOC Heading"/>
    <w:uiPriority w:val="39"/>
    <w:unhideWhenUsed/>
    <w:pPr>
      <w:pBdr/>
      <w:spacing/>
      <w:ind/>
    </w:pPr>
  </w:style>
  <w:style w:type="paragraph" w:styleId="931">
    <w:name w:val="table of figures"/>
    <w:basedOn w:val="876"/>
    <w:next w:val="876"/>
    <w:uiPriority w:val="99"/>
    <w:unhideWhenUsed/>
    <w:pPr>
      <w:pBdr/>
      <w:spacing w:after="0"/>
      <w:ind/>
    </w:pPr>
  </w:style>
  <w:style w:type="paragraph" w:styleId="932">
    <w:name w:val="Normal (Web)"/>
    <w:basedOn w:val="876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3" w:customStyle="1">
    <w:name w:val="docdata"/>
    <w:basedOn w:val="886"/>
    <w:pPr>
      <w:pBdr/>
      <w:spacing/>
      <w:ind/>
    </w:pPr>
  </w:style>
  <w:style w:type="paragraph" w:styleId="934" w:customStyle="1">
    <w:name w:val="5873"/>
    <w:basedOn w:val="87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3099"/>
    <w:basedOn w:val="87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14</cp:revision>
  <dcterms:created xsi:type="dcterms:W3CDTF">2025-04-24T12:19:00Z</dcterms:created>
  <dcterms:modified xsi:type="dcterms:W3CDTF">2025-04-29T13:29:37Z</dcterms:modified>
</cp:coreProperties>
</file>