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firstLine="0" w:left="6094"/>
        <w:jc w:val="left"/>
        <w:rPr>
          <w:sz w:val="20"/>
          <w:szCs w:val="28"/>
        </w:rPr>
      </w:pPr>
      <w:r>
        <w:rPr>
          <w:sz w:val="20"/>
          <w:szCs w:val="28"/>
        </w:rPr>
        <w:t xml:space="preserve">Додаток 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Bdr/>
        <w:spacing w:after="0" w:line="240" w:lineRule="auto"/>
        <w:ind w:firstLine="0" w:left="6094"/>
        <w:jc w:val="left"/>
        <w:rPr>
          <w:sz w:val="20"/>
          <w:szCs w:val="28"/>
        </w:rPr>
      </w:pPr>
      <w:r>
        <w:rPr>
          <w:sz w:val="20"/>
          <w:szCs w:val="28"/>
        </w:rPr>
        <w:t xml:space="preserve">до рішення </w:t>
      </w:r>
      <w:r>
        <w:rPr>
          <w:sz w:val="20"/>
          <w:szCs w:val="28"/>
        </w:rPr>
        <w:t xml:space="preserve">60</w:t>
      </w:r>
      <w:r>
        <w:rPr>
          <w:sz w:val="20"/>
          <w:szCs w:val="28"/>
        </w:rPr>
        <w:t xml:space="preserve"> сесії Менської міської ради 8 скликання 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Bdr/>
        <w:spacing w:after="0" w:line="240" w:lineRule="auto"/>
        <w:ind w:firstLine="0" w:left="6094"/>
        <w:jc w:val="left"/>
        <w:rPr>
          <w:sz w:val="20"/>
          <w:szCs w:val="28"/>
        </w:rPr>
      </w:pPr>
      <w:r>
        <w:rPr>
          <w:sz w:val="20"/>
          <w:szCs w:val="28"/>
        </w:rPr>
        <w:t xml:space="preserve">24 квітня</w:t>
      </w:r>
      <w:r>
        <w:rPr>
          <w:sz w:val="20"/>
          <w:szCs w:val="28"/>
        </w:rPr>
        <w:t xml:space="preserve"> 202</w:t>
      </w:r>
      <w:r>
        <w:rPr>
          <w:sz w:val="20"/>
          <w:szCs w:val="28"/>
        </w:rPr>
        <w:t xml:space="preserve">5</w:t>
      </w:r>
      <w:r>
        <w:rPr>
          <w:sz w:val="20"/>
          <w:szCs w:val="28"/>
        </w:rPr>
        <w:t xml:space="preserve"> року № 213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Bdr/>
        <w:spacing w:after="0" w:line="240" w:lineRule="auto"/>
        <w:ind w:right="20" w:firstLine="571"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after="0" w:line="240" w:lineRule="auto"/>
        <w:ind w:right="20" w:firstLine="571" w:left="-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0" w:line="240" w:lineRule="auto"/>
        <w:ind w:firstLine="571" w:left="-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виконання рішень суду про стягнення коштів на 2024-2025 роки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0" w:line="240" w:lineRule="auto"/>
        <w:ind w:firstLine="571" w:left="-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(нова редакція)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0" w:line="240" w:lineRule="auto"/>
        <w:ind w:firstLine="571" w:left="-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17"/>
        <w:pBdr/>
        <w:spacing w:after="0" w:line="240" w:lineRule="auto"/>
        <w:ind w:firstLine="571" w:left="-4"/>
        <w:rPr>
          <w:sz w:val="28"/>
          <w:szCs w:val="28"/>
        </w:rPr>
      </w:pPr>
      <w:r>
        <w:rPr>
          <w:sz w:val="28"/>
          <w:szCs w:val="28"/>
        </w:rPr>
        <w:t xml:space="preserve">1.Паспорт Програми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97"/>
        <w:tblW w:w="0" w:type="auto"/>
        <w:tblInd w:w="227" w:type="dxa"/>
        <w:tblBorders/>
        <w:tblCellMar>
          <w:left w:w="10" w:type="dxa"/>
          <w:top w:w="31" w:type="dxa"/>
          <w:right w:w="4" w:type="dxa"/>
          <w:bottom w:w="1" w:type="dxa"/>
        </w:tblCellMar>
        <w:tblLook w:val="04A0" w:firstRow="1" w:lastRow="0" w:firstColumn="1" w:lastColumn="0" w:noHBand="0" w:noVBand="1"/>
      </w:tblPr>
      <w:tblGrid>
        <w:gridCol w:w="421"/>
        <w:gridCol w:w="4408"/>
        <w:gridCol w:w="4566"/>
      </w:tblGrid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" w:hanging="63"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Ініціатор розроблення програми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Менська міська рада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" w:hanging="63"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Розробник програми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Менська міська рада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" w:hanging="63"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Співрозробники</w:t>
            </w:r>
            <w:r>
              <w:rPr>
                <w:sz w:val="28"/>
                <w:szCs w:val="28"/>
              </w:rPr>
              <w:t xml:space="preserve"> програми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Виконавчі органи Менської мі</w:t>
            </w:r>
            <w:r>
              <w:rPr>
                <w:sz w:val="28"/>
                <w:szCs w:val="28"/>
              </w:rPr>
              <w:t xml:space="preserve">ської ради, Менська міська рада,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" w:hanging="63"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Відповідальний виконавець програми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Виконавчі органи Менської міської ради, Менська міська рада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 xml:space="preserve">комунальні установи, заклади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" w:hanging="63"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Учасники програми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Виконавчі органи Менської міської ра</w:t>
            </w:r>
            <w:r>
              <w:rPr>
                <w:color w:val="000000" w:themeColor="text1"/>
                <w:sz w:val="28"/>
                <w:szCs w:val="28"/>
              </w:rPr>
              <w:t xml:space="preserve">ди,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 xml:space="preserve">комунальні установи, заклади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" w:hanging="63"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Термін реалізації програми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2024-2025 роки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" w:hanging="63"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Перелік бюджетів, які беруть участь у виконанні програми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Місцевий бюджет Менської міської територіальної громади (надалі бюджет громади)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" w:hanging="63"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113" w:firstLine="0" w:left="17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  <w:t xml:space="preserve">00,0 тис. грн.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17"/>
        <w:pBdr/>
        <w:spacing w:after="0" w:line="240" w:lineRule="auto"/>
        <w:ind w:firstLine="571" w:left="-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7"/>
        <w:pBdr/>
        <w:spacing w:after="0" w:line="240" w:lineRule="auto"/>
        <w:ind w:firstLine="571" w:left="-4"/>
        <w:rPr>
          <w:sz w:val="28"/>
          <w:szCs w:val="28"/>
        </w:rPr>
      </w:pPr>
      <w:r>
        <w:rPr>
          <w:sz w:val="28"/>
          <w:szCs w:val="28"/>
        </w:rPr>
        <w:t xml:space="preserve">2. Визначення проблем, на розв’язання яких спрямована Програма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674497</wp:posOffset>
                </wp:positionH>
                <wp:positionV relativeFrom="paragraph">
                  <wp:posOffset>518660</wp:posOffset>
                </wp:positionV>
                <wp:extent cx="4255008" cy="164592"/>
                <wp:effectExtent l="0" t="0" r="0" b="0"/>
                <wp:wrapNone/>
                <wp:docPr id="2" name="Picture 141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4111"/>
                        <pic:cNvPicPr/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4255008" cy="1645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8240;o:allowoverlap:true;o:allowincell:true;mso-position-horizontal-relative:text;margin-left:53.11pt;mso-position-horizontal:absolute;mso-position-vertical-relative:text;margin-top:40.84pt;mso-position-vertical:absolute;width:335.04pt;height:12.96pt;mso-wrap-distance-left:9.00pt;mso-wrap-distance-top:0.00pt;mso-wrap-distance-right:9.00pt;mso-wrap-distance-bottom:0.00pt;z-index:1;" stroked="false">
                <v:imagedata r:id="rId21" o:title=""/>
                <o:lock v:ext="edit" rotation="t"/>
              </v:shape>
            </w:pict>
          </mc:Fallback>
        </mc:AlternateContent>
      </w:r>
      <w:r>
        <w:rPr>
          <w:sz w:val="28"/>
          <w:szCs w:val="28"/>
        </w:rPr>
        <w:t xml:space="preserve">Підставою для розробки Програми є Конституція України, Бюджетний кодекс України, Закон України «Про місцеве самоврядування в Україні», Закон України «Про виконавче провадження», Закон України «Про гарантії держави щодо виконання судових рішень», </w:t>
      </w:r>
      <w:hyperlink r:id="rId22" w:tooltip="http://search.ligazakon.ua/l_doc2.nsf/link1/ed_2016_10_11/pravo1/KP110845.html?pravo=1" w:history="1">
        <w:r>
          <w:rPr>
            <w:sz w:val="28"/>
            <w:szCs w:val="28"/>
          </w:rPr>
          <w:t xml:space="preserve">постанова</w:t>
        </w:r>
      </w:hyperlink>
      <w:r/>
      <w:hyperlink r:id="rId23" w:tooltip="http://search.ligazakon.ua/l_doc2.nsf/link1/ed_2016_10_11/pravo1/KP110845.html?pravo=1" w:history="1">
        <w:r>
          <w:rPr>
            <w:sz w:val="28"/>
            <w:szCs w:val="28"/>
          </w:rPr>
          <w:t xml:space="preserve"> </w:t>
        </w:r>
      </w:hyperlink>
      <w:r/>
      <w:hyperlink r:id="rId24" w:tooltip="http://search.ligazakon.ua/l_doc2.nsf/link1/ed_2016_10_11/pravo1/KP110845.html?pravo=1" w:history="1">
        <w:r>
          <w:rPr>
            <w:sz w:val="28"/>
            <w:szCs w:val="28"/>
          </w:rPr>
          <w:t xml:space="preserve">Кабінету</w:t>
        </w:r>
      </w:hyperlink>
      <w:r/>
      <w:hyperlink r:id="rId25" w:tooltip="http://search.ligazakon.ua/l_doc2.nsf/link1/ed_2016_10_11/pravo1/KP110845.html?pravo=1" w:history="1">
        <w:r>
          <w:rPr>
            <w:sz w:val="28"/>
            <w:szCs w:val="28"/>
          </w:rPr>
          <w:t xml:space="preserve"> </w:t>
        </w:r>
      </w:hyperlink>
      <w:r/>
      <w:hyperlink r:id="rId26" w:tooltip="http://search.ligazakon.ua/l_doc2.nsf/link1/ed_2016_10_11/pravo1/KP110845.html?pravo=1" w:history="1">
        <w:r>
          <w:rPr>
            <w:sz w:val="28"/>
            <w:szCs w:val="28"/>
          </w:rPr>
          <w:t xml:space="preserve">Міністрів</w:t>
        </w:r>
      </w:hyperlink>
      <w:r/>
      <w:hyperlink r:id="rId27" w:tooltip="http://search.ligazakon.ua/l_doc2.nsf/link1/ed_2016_10_11/pravo1/KP110845.html?pravo=1" w:history="1">
        <w:r>
          <w:rPr>
            <w:sz w:val="28"/>
            <w:szCs w:val="28"/>
          </w:rPr>
          <w:t xml:space="preserve"> </w:t>
        </w:r>
      </w:hyperlink>
      <w:r/>
      <w:hyperlink r:id="rId28" w:tooltip="http://search.ligazakon.ua/l_doc2.nsf/link1/ed_2016_10_11/pravo1/KP110845.html?pravo=1" w:history="1">
        <w:r>
          <w:rPr>
            <w:sz w:val="28"/>
            <w:szCs w:val="28"/>
          </w:rPr>
          <w:t xml:space="preserve">України</w:t>
        </w:r>
      </w:hyperlink>
      <w:r/>
      <w:hyperlink r:id="rId29" w:tooltip="http://search.ligazakon.ua/l_doc2.nsf/link1/ed_2016_10_11/pravo1/KP110845.html?pravo=1" w:history="1">
        <w:r>
          <w:rPr>
            <w:sz w:val="28"/>
            <w:szCs w:val="28"/>
          </w:rPr>
          <w:t xml:space="preserve"> </w:t>
        </w:r>
      </w:hyperlink>
      <w:r/>
      <w:hyperlink r:id="rId30" w:tooltip="http://search.ligazakon.ua/l_doc2.nsf/link1/ed_2016_10_11/pravo1/KP110845.html?pravo=1" w:history="1">
        <w:r>
          <w:rPr>
            <w:sz w:val="28"/>
            <w:szCs w:val="28"/>
          </w:rPr>
          <w:t xml:space="preserve">від</w:t>
        </w:r>
      </w:hyperlink>
      <w:r/>
      <w:hyperlink r:id="rId31" w:tooltip="http://search.ligazakon.ua/l_doc2.nsf/link1/ed_2016_10_11/pravo1/KP110845.html?pravo=1" w:history="1">
        <w:r>
          <w:rPr>
            <w:sz w:val="28"/>
            <w:szCs w:val="28"/>
          </w:rPr>
          <w:t xml:space="preserve"> </w:t>
        </w:r>
      </w:hyperlink>
      <w:r/>
      <w:hyperlink r:id="rId32" w:tooltip="http://search.ligazakon.ua/l_doc2.nsf/link1/ed_2016_10_11/pravo1/KP110845.html?pravo=1" w:history="1">
        <w:r>
          <w:rPr>
            <w:sz w:val="28"/>
            <w:szCs w:val="28"/>
          </w:rPr>
          <w:t xml:space="preserve">03.08.2011 </w:t>
        </w:r>
      </w:hyperlink>
      <w:r/>
      <w:hyperlink r:id="rId33" w:tooltip="http://search.ligazakon.ua/l_doc2.nsf/link1/ed_2016_10_11/pravo1/KP110845.html?pravo=1" w:history="1">
        <w:r>
          <w:rPr>
            <w:sz w:val="28"/>
            <w:szCs w:val="28"/>
          </w:rPr>
          <w:t xml:space="preserve">року</w:t>
        </w:r>
      </w:hyperlink>
      <w:r/>
      <w:hyperlink r:id="rId34" w:tooltip="http://search.ligazakon.ua/l_doc2.nsf/link1/ed_2016_10_11/pravo1/KP110845.html?pravo=1" w:history="1"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№845 «Про затвердження Порядку виконання рішень про стягнення коштів державного та місцевого бюджетів або боржників».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Згідно зі статтею 129 - 1 Конституції України, судові рішення ухвалюються іменем України і є обов’язковими до виконання.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2 статті 13 Закону України «Про судоустрій та статус судд</w:t>
      </w:r>
      <w:r>
        <w:rPr>
          <w:sz w:val="28"/>
          <w:szCs w:val="28"/>
        </w:rPr>
        <w:t xml:space="preserve">ів», судові рішення, що набрали законної сили, є обов’язковими до виконання всіма органами державної влади, органами місцевого самоврядування, їх посадовими та службовими особами, фізичними і юридичними особами та їх об’єднаннями на всій території України.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Аналогічні положення щодо обов’язковості судових рішень також закріплені в частині 1 статті 18 Цивільного процесуального кодексу України, </w:t>
      </w:r>
      <w:r>
        <w:rPr>
          <w:sz w:val="28"/>
          <w:szCs w:val="28"/>
        </w:rPr>
        <w:t xml:space="preserve">частині 1 статті 18 Господарського процесуального кодексу України та частині 2 статті 14 Кодексу адміністративного судочинства України.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Відпо</w:t>
      </w:r>
      <w:r>
        <w:rPr>
          <w:sz w:val="28"/>
          <w:szCs w:val="28"/>
        </w:rPr>
        <w:t xml:space="preserve">відно до частини 2 статті 6 Закону України «Про виконавче провадження» рішення про стягнення коштів з державних органів, державного та місцевих бюджетів або бюджетних установ виконуються органами, що здійснюють казначейське обслуговування бюджетних коштів.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Механізм виконання рішень про стягнення коштів державного та місцевих бюджетів або боржників, прийнятих судами, а також іншими державними органами (посадовими особами</w:t>
      </w:r>
      <w:r>
        <w:rPr>
          <w:sz w:val="28"/>
          <w:szCs w:val="28"/>
        </w:rPr>
        <w:t xml:space="preserve">), які відповідно до закону мають право приймати такі рішення, визначено Порядком виконання рішень про стягнення коштів державного та місцевих бюджетів або боржників, затвердженим постановою Кабінету Міністрів України від 03.08.2011 № 845 (далі - Порядок).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Пунктом 25 Порядку визначено можливість прийняття органами місцевого самоврядування окремих бюджетних програм для забезпечення виконання рішень суду.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У разі наявності у боржника або головного розпорядника бюджетних коштів окремої бюджетної програми для забезпечення виконання рішень суду безспірне списання коштів здійснюється лише за цією бюджетною програмою. При цьому положення</w:t>
      </w:r>
      <w:hyperlink r:id="rId35" w:tooltip="http://zakon.rada.gov.ua/laws/show/845-2011-%D0%A0%D1%97%23n299" w:history="1">
        <w:r>
          <w:rPr>
            <w:sz w:val="28"/>
            <w:szCs w:val="28"/>
          </w:rPr>
          <w:t xml:space="preserve"> </w:t>
        </w:r>
      </w:hyperlink>
      <w:r/>
      <w:hyperlink r:id="rId36" w:tooltip="http://zakon.rada.gov.ua/laws/show/845-2011-%D0%A0%D1%97%23n299" w:history="1">
        <w:r>
          <w:rPr>
            <w:sz w:val="28"/>
            <w:szCs w:val="28"/>
          </w:rPr>
          <w:t xml:space="preserve">пунктів</w:t>
        </w:r>
      </w:hyperlink>
      <w:r/>
      <w:hyperlink r:id="rId37" w:tooltip="http://zakon.rada.gov.ua/laws/show/845-2011-%D0%A0%D1%97%23n299" w:history="1">
        <w:r>
          <w:rPr>
            <w:sz w:val="28"/>
            <w:szCs w:val="28"/>
          </w:rPr>
          <w:t xml:space="preserve"> 28-34 </w:t>
        </w:r>
      </w:hyperlink>
      <w:r>
        <w:rPr>
          <w:sz w:val="28"/>
          <w:szCs w:val="28"/>
        </w:rPr>
        <w:t xml:space="preserve">цього Порядку застосовуються лише щодо зазначеної бюджетної програми розпорядників коштів.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З метою забезпечен</w:t>
      </w:r>
      <w:r>
        <w:rPr>
          <w:sz w:val="28"/>
          <w:szCs w:val="28"/>
        </w:rPr>
        <w:t xml:space="preserve">ня належного виконання грошових зобов’язань, які виникли на підставі рішень про стягнення коштів з Бюджету громади, боржниками по яких є Менська міська рада або виконавчі органи міської ради, своєчасного виконання судових рішень і розроблена дана Програма.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Також під час участі у судових справах виникають питання про </w:t>
      </w:r>
      <w:r>
        <w:rPr>
          <w:color w:val="000000" w:themeColor="text1"/>
          <w:sz w:val="28"/>
          <w:szCs w:val="28"/>
        </w:rPr>
        <w:t xml:space="preserve">забезпечення виконання рішень судів щодо призначення експертизи та сплати судових витрат,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пов’язаних із залученням спеціалістів, експертів та проведенням експертизи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7"/>
        <w:pBdr/>
        <w:spacing w:after="0" w:line="240" w:lineRule="auto"/>
        <w:ind w:firstLine="571" w:left="-4"/>
        <w:rPr>
          <w:sz w:val="28"/>
          <w:szCs w:val="28"/>
        </w:rPr>
      </w:pPr>
      <w:r>
        <w:rPr>
          <w:sz w:val="28"/>
          <w:szCs w:val="28"/>
        </w:rPr>
        <w:t xml:space="preserve">3. Визначення мети Програми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Метою Програми є недопущення настання негатив</w:t>
      </w:r>
      <w:r>
        <w:rPr>
          <w:sz w:val="28"/>
          <w:szCs w:val="28"/>
        </w:rPr>
        <w:t xml:space="preserve">них наслідків для Менської міської ради , її  виконавчих органів  та бюджету громади в частині блокування рахунків, та недопущення неможливості виконання завдань щодо забезпечення надання встановлених державою та Менською міською радою соціальних гарантій.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71" w:left="-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 w:firstLine="571" w:left="-4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4.Обґрунтування шляхів і засобів розв’язання проблеми, обсяги та джерела фінансування, строки та етапи виконання Програми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Проблема виконання рішень судів та інших виконавчих документів відноситься до найважливіших і її вирішення необхідне для безперебійного і безперешкодного виконання рішень судів та інших виконавчих документів.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Для забезпечення належного виконання грошових зобов’язань, які виникли на підставі рішень про стягнення кошті</w:t>
      </w:r>
      <w:r>
        <w:rPr>
          <w:sz w:val="28"/>
          <w:szCs w:val="28"/>
        </w:rPr>
        <w:t xml:space="preserve">в з бюджету громади, боржниками по яких є виконавчі органи  міської ради, Менська міська рада, беручи до уваги відсутність передумов щодо ймовірних невідкладних законодавчих рішень по врегулюванню питання виділення коштів із Державного бюджету України для </w:t>
      </w:r>
      <w:r>
        <w:rPr>
          <w:sz w:val="28"/>
          <w:szCs w:val="28"/>
        </w:rPr>
        <w:t xml:space="preserve">виконання</w:t>
      </w:r>
      <w:r>
        <w:rPr>
          <w:sz w:val="28"/>
          <w:szCs w:val="28"/>
        </w:rPr>
        <w:t xml:space="preserve"> рішень судів, керуючись статтями 20, 22 Бюджетного кодексу України, пунктом 25 Порядку виконання рішень про стягнення коштів державного та місцевих бюджетів або боржників, затвердженого постановою Кабінету Міністрів України від 03.08.2011 № 845(у редакції</w:t>
      </w:r>
      <w:hyperlink r:id="rId38" w:tooltip="https://zakon.rada.gov.ua/laws/show/45-2013-%D0%BF%23n12" w:history="1">
        <w:r>
          <w:rPr>
            <w:sz w:val="28"/>
            <w:szCs w:val="28"/>
          </w:rPr>
          <w:t xml:space="preserve"> </w:t>
        </w:r>
      </w:hyperlink>
      <w:r/>
      <w:hyperlink r:id="rId39" w:tooltip="https://zakon.rada.gov.ua/laws/show/45-2013-%D0%BF%23n12" w:history="1">
        <w:r>
          <w:rPr>
            <w:sz w:val="28"/>
            <w:szCs w:val="28"/>
          </w:rPr>
          <w:t xml:space="preserve">постанови</w:t>
        </w:r>
      </w:hyperlink>
      <w:r/>
      <w:hyperlink r:id="rId40" w:tooltip="https://zakon.rada.gov.ua/laws/show/45-2013-%D0%BF%23n12" w:history="1">
        <w:r>
          <w:rPr>
            <w:sz w:val="28"/>
            <w:szCs w:val="28"/>
          </w:rPr>
          <w:t xml:space="preserve"> </w:t>
        </w:r>
      </w:hyperlink>
      <w:r/>
      <w:hyperlink r:id="rId41" w:tooltip="https://zakon.rada.gov.ua/laws/show/45-2013-%D0%BF%23n12" w:history="1">
        <w:r>
          <w:rPr>
            <w:sz w:val="28"/>
            <w:szCs w:val="28"/>
          </w:rPr>
          <w:t xml:space="preserve">Кабінету</w:t>
        </w:r>
      </w:hyperlink>
      <w:r/>
      <w:hyperlink r:id="rId42" w:tooltip="https://zakon.rada.gov.ua/laws/show/45-2013-%D0%BF%23n12" w:history="1">
        <w:r>
          <w:rPr>
            <w:sz w:val="28"/>
            <w:szCs w:val="28"/>
          </w:rPr>
          <w:t xml:space="preserve"> </w:t>
        </w:r>
      </w:hyperlink>
      <w:r/>
      <w:hyperlink r:id="rId43" w:tooltip="https://zakon.rada.gov.ua/laws/show/45-2013-%D0%BF%23n12" w:history="1">
        <w:r>
          <w:rPr>
            <w:sz w:val="28"/>
            <w:szCs w:val="28"/>
          </w:rPr>
          <w:t xml:space="preserve">Міністрів</w:t>
        </w:r>
      </w:hyperlink>
      <w:r/>
      <w:hyperlink r:id="rId44" w:tooltip="https://zakon.rada.gov.ua/laws/show/45-2013-%D0%BF%23n12" w:history="1">
        <w:r>
          <w:rPr>
            <w:sz w:val="28"/>
            <w:szCs w:val="28"/>
          </w:rPr>
          <w:t xml:space="preserve"> </w:t>
        </w:r>
      </w:hyperlink>
      <w:r/>
      <w:hyperlink r:id="rId45" w:tooltip="https://zakon.rada.gov.ua/laws/show/45-2013-%D0%BF%23n12" w:history="1">
        <w:r>
          <w:rPr>
            <w:sz w:val="28"/>
            <w:szCs w:val="28"/>
          </w:rPr>
          <w:t xml:space="preserve">України</w:t>
        </w:r>
      </w:hyperlink>
      <w:r/>
      <w:hyperlink r:id="rId46" w:tooltip="https://zakon.rada.gov.ua/laws/show/45-2013-%D0%BF%23n12" w:history="1">
        <w:r>
          <w:rPr>
            <w:sz w:val="28"/>
            <w:szCs w:val="28"/>
          </w:rPr>
          <w:t xml:space="preserve"> </w:t>
        </w:r>
      </w:hyperlink>
      <w:r/>
      <w:hyperlink r:id="rId47" w:tooltip="https://zakon.rada.gov.ua/laws/show/45-2013-%D0%BF%23n12" w:history="1">
        <w:r>
          <w:rPr>
            <w:sz w:val="28"/>
            <w:szCs w:val="28"/>
          </w:rPr>
          <w:t xml:space="preserve">від</w:t>
        </w:r>
      </w:hyperlink>
      <w:r>
        <w:rPr>
          <w:sz w:val="28"/>
          <w:szCs w:val="28"/>
        </w:rPr>
        <w:t xml:space="preserve"> </w:t>
      </w:r>
      <w:hyperlink r:id="rId48" w:tooltip="https://zakon.rada.gov.ua/laws/show/45-2013-%D0%BF%23n12" w:history="1">
        <w:r>
          <w:rPr>
            <w:sz w:val="28"/>
            <w:szCs w:val="28"/>
          </w:rPr>
          <w:t xml:space="preserve">30.01.2013 </w:t>
        </w:r>
      </w:hyperlink>
      <w:r/>
      <w:hyperlink r:id="rId49" w:tooltip="https://zakon.rada.gov.ua/laws/show/45-2013-%D0%BF%23n12" w:history="1">
        <w:r>
          <w:rPr>
            <w:sz w:val="28"/>
            <w:szCs w:val="28"/>
          </w:rPr>
          <w:t xml:space="preserve">№</w:t>
        </w:r>
      </w:hyperlink>
      <w:r/>
      <w:hyperlink r:id="rId50" w:tooltip="https://zakon.rada.gov.ua/laws/show/45-2013-%D0%BF%23n12" w:history="1">
        <w:r>
          <w:rPr>
            <w:sz w:val="28"/>
            <w:szCs w:val="28"/>
          </w:rPr>
          <w:t xml:space="preserve"> 45</w:t>
        </w:r>
      </w:hyperlink>
      <w:r>
        <w:rPr>
          <w:sz w:val="28"/>
          <w:szCs w:val="28"/>
        </w:rPr>
        <w:t xml:space="preserve">), пунктом 22 частини 1 статті 26, частиною 1 статті 59 Закону України «Про місцеве самоврядування в Україні» спрямовано Програму.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Фінансове забезпечення заходів Програми здійснюється згідно з чинним законодавством України за рахунок коштів бюджету громади та в межах асигнувань, передбачених на зазначену мету.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Фінансування програми здійснюється за рахунок коштів бюджету громади.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Внесення змін до Програми здійснюватиметься за процедурою внесення змін до місцевих нормативних актів.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Програма виконується в один етап протягом 2024–2025 років.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7"/>
        <w:pBdr/>
        <w:spacing w:after="0" w:line="240" w:lineRule="auto"/>
        <w:ind w:firstLine="571" w:left="-4"/>
        <w:rPr>
          <w:sz w:val="28"/>
          <w:szCs w:val="28"/>
        </w:rPr>
      </w:pPr>
      <w:r>
        <w:rPr>
          <w:sz w:val="28"/>
          <w:szCs w:val="28"/>
        </w:rPr>
        <w:t xml:space="preserve">Ресурсне забезпечення Програми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7"/>
        <w:pBdr/>
        <w:spacing w:after="0" w:line="240" w:lineRule="auto"/>
        <w:ind w:firstLine="571" w:left="-4"/>
        <w:jc w:val="right"/>
        <w:rPr>
          <w:b w:val="0"/>
          <w:bCs/>
          <w:sz w:val="22"/>
          <w:szCs w:val="28"/>
        </w:rPr>
      </w:pPr>
      <w:r>
        <w:rPr>
          <w:b w:val="0"/>
          <w:bCs/>
          <w:sz w:val="22"/>
          <w:szCs w:val="28"/>
        </w:rPr>
        <w:t xml:space="preserve">тис. грн</w:t>
      </w:r>
      <w:r>
        <w:rPr>
          <w:b w:val="0"/>
          <w:bCs/>
          <w:sz w:val="22"/>
          <w:szCs w:val="28"/>
        </w:rPr>
      </w:r>
      <w:r>
        <w:rPr>
          <w:b w:val="0"/>
          <w:bCs/>
          <w:sz w:val="22"/>
          <w:szCs w:val="28"/>
        </w:rPr>
      </w:r>
    </w:p>
    <w:tbl>
      <w:tblPr>
        <w:tblStyle w:val="997"/>
        <w:tblW w:w="9638" w:type="dxa"/>
        <w:tblInd w:w="5" w:type="dxa"/>
        <w:tblBorders/>
        <w:tblCellMar>
          <w:left w:w="227" w:type="dxa"/>
          <w:top w:w="61" w:type="dxa"/>
          <w:right w:w="67" w:type="dxa"/>
        </w:tblCellMar>
        <w:tblLook w:val="04A0" w:firstRow="1" w:lastRow="0" w:firstColumn="1" w:lastColumn="0" w:noHBand="0" w:noVBand="1"/>
      </w:tblPr>
      <w:tblGrid>
        <w:gridCol w:w="5240"/>
        <w:gridCol w:w="994"/>
        <w:gridCol w:w="994"/>
        <w:gridCol w:w="241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571" w:left="-4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Обсяг коштів, які пропонується залучити на виконання Програми</w:t>
            </w:r>
            <w:r>
              <w:rPr>
                <w:sz w:val="18"/>
                <w:szCs w:val="28"/>
              </w:rPr>
            </w:r>
            <w:r>
              <w:rPr>
                <w:sz w:val="1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-4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2024 рік</w:t>
            </w:r>
            <w:r>
              <w:rPr>
                <w:sz w:val="18"/>
                <w:szCs w:val="28"/>
              </w:rPr>
            </w:r>
            <w:r>
              <w:rPr>
                <w:sz w:val="1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-4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2025 рік</w:t>
            </w:r>
            <w:r>
              <w:rPr>
                <w:sz w:val="18"/>
                <w:szCs w:val="28"/>
              </w:rPr>
            </w:r>
            <w:r>
              <w:rPr>
                <w:sz w:val="1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-4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Всього витрат на виконання Програми</w:t>
            </w:r>
            <w:r>
              <w:rPr>
                <w:sz w:val="18"/>
                <w:szCs w:val="28"/>
              </w:rPr>
            </w:r>
            <w:r>
              <w:rPr>
                <w:sz w:val="18"/>
                <w:szCs w:val="28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Обсяг ресурсів, усього: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00,0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  <w:t xml:space="preserve">00,0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тому числі: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бюджету громади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00,0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  <w:t xml:space="preserve">00,0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17"/>
        <w:pBdr/>
        <w:spacing w:after="0" w:line="240" w:lineRule="auto"/>
        <w:ind w:firstLine="571" w:left="-4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17"/>
        <w:pBdr/>
        <w:spacing w:after="0" w:line="240" w:lineRule="auto"/>
        <w:ind w:firstLine="571" w:left="-4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5.Перелік завдань і заходів Програми та результативні показники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Завданням Програми є проведення заходів щодо погашення заборгованості за судовими рішеннями, виконавчими документами, відповідальність за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иконання яких несуть органи місцевого самоврядування.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Ключовими індикаторами реалізації програми є: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кількість рішень суду щодо безспірного списання коштів бюджету громади, боржниками по яких є Менська міська рада або виконавчі органи міської ради, бюджетні установи, заклади, організації та одержувачі бюджетних коштів, що взяті до виконання 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сума заборгованості за судовими рішеннями про стягнення коштів бюджету громади, боржниками по яких є Менська міська рада або  виконавчі органи  міської ради, що підлягає безспірному списанню;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сума судового збору, виконавчого збору, штрафів та додаткових витрат, які виникли внаслідок несвоєчасного виконання чи невиконання рішення суду, та підлягають відшкодуванню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firstLine="567"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сума коштів на </w:t>
      </w:r>
      <w:r>
        <w:rPr>
          <w:color w:val="000000" w:themeColor="text1"/>
          <w:sz w:val="28"/>
          <w:szCs w:val="28"/>
        </w:rPr>
        <w:t xml:space="preserve">сплат</w:t>
      </w:r>
      <w:r>
        <w:rPr>
          <w:color w:val="000000" w:themeColor="text1"/>
          <w:sz w:val="28"/>
          <w:szCs w:val="28"/>
        </w:rPr>
        <w:t xml:space="preserve">у</w:t>
      </w:r>
      <w:r>
        <w:rPr>
          <w:color w:val="000000" w:themeColor="text1"/>
          <w:sz w:val="28"/>
          <w:szCs w:val="28"/>
        </w:rPr>
        <w:t xml:space="preserve"> судових витрат,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пов’язаних із залученням спеціалістів, експертів та проведенням експертизи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Реалізація Програми дасть можливість: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зменшити негативні наслідки невиконання судових рішень та інших виконавчих документів (блокування рахунків, накладення штрафів тощо);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забезпечити самостійне виконання рішень судів та інших виконавчих документів;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завершити стадію судового провадження, спрямовану на примусове виконання рішень судів, боржником в яких виступають органи місцевого самоврядування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firstLine="567"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забезпеч</w:t>
      </w:r>
      <w:r>
        <w:rPr>
          <w:color w:val="000000" w:themeColor="text1"/>
          <w:sz w:val="28"/>
          <w:szCs w:val="28"/>
        </w:rPr>
        <w:t xml:space="preserve">ити</w:t>
      </w:r>
      <w:r>
        <w:rPr>
          <w:color w:val="000000" w:themeColor="text1"/>
          <w:sz w:val="28"/>
          <w:szCs w:val="28"/>
        </w:rPr>
        <w:t xml:space="preserve"> виконання рішень судів щодо призначення експертизи та сплат</w:t>
      </w:r>
      <w:r>
        <w:rPr>
          <w:color w:val="000000" w:themeColor="text1"/>
          <w:sz w:val="28"/>
          <w:szCs w:val="28"/>
        </w:rPr>
        <w:t xml:space="preserve">у</w:t>
      </w:r>
      <w:r>
        <w:rPr>
          <w:color w:val="000000" w:themeColor="text1"/>
          <w:sz w:val="28"/>
          <w:szCs w:val="28"/>
        </w:rPr>
        <w:t xml:space="preserve"> судових витрат,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пов’язаних із залученням спеціалістів, експертів та проведенням експертизи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Результативними показниками виконання Програми є: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обсяг видатків на виконання судових рішень та виконавчих документів;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кількість виконаних судових рішень та виконавчих документів.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71" w:left="-4"/>
        <w:rPr>
          <w:sz w:val="28"/>
          <w:szCs w:val="28"/>
        </w:rPr>
        <w:sectPr>
          <w:headerReference w:type="default" r:id="rId9"/>
          <w:headerReference w:type="first" r:id="rId10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h="16840" w:orient="portrait" w:w="11900"/>
          <w:pgMar w:top="1134" w:right="567" w:bottom="1134" w:left="1701" w:header="283" w:footer="20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2175"/>
          <w:tab w:val="center" w:leader="none" w:pos="5280"/>
          <w:tab w:val="left" w:leader="none" w:pos="10490"/>
        </w:tabs>
        <w:spacing w:after="0" w:line="240" w:lineRule="auto"/>
        <w:ind w:right="-29" w:firstLine="571" w:left="-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6. Напрями діяльності та заходи Програми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97"/>
        <w:tblW w:w="14330" w:type="dxa"/>
        <w:jc w:val="center"/>
        <w:tblInd w:w="0" w:type="dxa"/>
        <w:tblBorders/>
        <w:tblLayout w:type="fixed"/>
        <w:tblCellMar>
          <w:top w:w="11" w:type="dxa"/>
        </w:tblCellMar>
        <w:tblLook w:val="04A0" w:firstRow="1" w:lastRow="0" w:firstColumn="1" w:lastColumn="0" w:noHBand="0" w:noVBand="1"/>
      </w:tblPr>
      <w:tblGrid>
        <w:gridCol w:w="367"/>
        <w:gridCol w:w="3905"/>
        <w:gridCol w:w="992"/>
        <w:gridCol w:w="2551"/>
        <w:gridCol w:w="1134"/>
        <w:gridCol w:w="709"/>
        <w:gridCol w:w="709"/>
        <w:gridCol w:w="3963"/>
      </w:tblGrid>
      <w:tr>
        <w:trPr>
          <w:jc w:val="center"/>
          <w:trHeight w:val="968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0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Перелік заходів програми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Строк виконання заходу , роки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Виконавці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Джерело фінансування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Орієнтовні обсяги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фінансування,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тис. грн., у тому числі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Очікуваний результат</w: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</w:tr>
      <w:tr>
        <w:trPr>
          <w:jc w:val="center"/>
          <w:trHeight w:val="12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firstLine="4"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7" w:left="-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firstLine="4" w:left="-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firstLine="4" w:left="-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4" w:left="-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2024</w:t>
            </w: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2025</w:t>
            </w: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3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571"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28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Погашення заборгованості за судовими рішеннями та іншими виконавчими документами про стягнення коштів місцевого бюджету, боржниками по яких є виконавчі органи Менської міської ради, Менська міська рада.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2024-2025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Менська міська рада, виконавчі органи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Менської міської ради, головні розпорядники бюджетних коштів, </w:t>
            </w:r>
            <w:r>
              <w:rPr>
                <w:color w:val="000000" w:themeColor="text1"/>
                <w:szCs w:val="24"/>
              </w:rPr>
              <w:t xml:space="preserve">комунальні установи, заклади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Бюджет громади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</w:t>
            </w:r>
            <w:bookmarkStart w:id="0" w:name="_GoBack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Зменшення негативних наслідків невиконання судових рішень та інших виконавчих документів, затримки видатків бюджету Менської міської територіальної громади внаслідок блокування рахунків.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Уникнення додаткових витрат з Бюджету громади внаслідок накладання штрафних санкцій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jc w:val="center"/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Оплата судового збору, витрат виконавчого провадження та виконавчого збору, додаткових витрат, які виникли внаслідок несвоєчасного виконання чи невиконання рішення суду, тощо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2024-2025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Менська міська рада, виконавчі органи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  <w:p>
            <w:pPr>
              <w:pBdr/>
              <w:spacing w:after="0" w:line="240" w:lineRule="auto"/>
              <w:ind w:right="57" w:firstLine="0" w:left="57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Менської міської ради, головні розпорядники бюджетних коштів</w:t>
            </w:r>
            <w:r>
              <w:rPr>
                <w:color w:val="000000" w:themeColor="text1"/>
                <w:szCs w:val="24"/>
              </w:rPr>
              <w:t xml:space="preserve">, </w:t>
            </w:r>
            <w:r>
              <w:rPr>
                <w:color w:val="000000" w:themeColor="text1"/>
                <w:szCs w:val="24"/>
              </w:rPr>
              <w:t xml:space="preserve">комунальні установи, заклади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Бюджет громади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firstLine="4" w:left="-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firstLine="4" w:left="-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Забезпечення оплати стягнень за рішенням суду, витрат виконавчого провадження, виконавчого збору, тощо. </w:t>
            </w:r>
            <w:r>
              <w:rPr>
                <w:szCs w:val="24"/>
              </w:rPr>
              <w:t xml:space="preserve">Уникнення додаткових витрат з Бюджету громади внаслідок накладання штрафних санкцій та стягнень виконавчого провадження та виконавчого збору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jc w:val="center"/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</w:t>
            </w:r>
            <w:r>
              <w:rPr>
                <w:szCs w:val="24"/>
              </w:rPr>
              <w:t xml:space="preserve">плат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  <w:t xml:space="preserve"> судових витрат, </w:t>
            </w:r>
            <w:r>
              <w:rPr>
                <w:color w:val="333333"/>
                <w:szCs w:val="24"/>
                <w:shd w:val="clear" w:color="auto" w:fill="ffffff"/>
              </w:rPr>
              <w:t xml:space="preserve">пов’язаних із залученням спеціалістів, експертів та проведенням експертизи</w:t>
            </w:r>
            <w:r>
              <w:rPr>
                <w:szCs w:val="24"/>
              </w:rPr>
              <w:t xml:space="preserve"> балансоутримувачами об’єктів та юридичними особами, що здійснили видатки на роботи, послуги чи були замовниками документацій, по яких проводиться експертиза чи залучається спеціаліст.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2024-2025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Менська міська рада, виконавчі органи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Менської міської ради, головні розпорядники бюджетних коштів, </w:t>
            </w:r>
            <w:r>
              <w:rPr>
                <w:color w:val="000000" w:themeColor="text1"/>
                <w:szCs w:val="24"/>
              </w:rPr>
              <w:t xml:space="preserve">комунальні установи, заклади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Бюджет громади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4" w:left="-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4" w:left="-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firstLine="0" w:left="57"/>
              <w:jc w:val="left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З</w:t>
            </w:r>
            <w:r>
              <w:rPr>
                <w:szCs w:val="28"/>
              </w:rPr>
              <w:t xml:space="preserve">абезпечення виконання рішень судів щодо призначення експертизи</w:t>
            </w:r>
            <w:r>
              <w:rPr>
                <w:szCs w:val="28"/>
              </w:rPr>
              <w:t xml:space="preserve">,</w:t>
            </w:r>
            <w:r>
              <w:rPr>
                <w:szCs w:val="28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 xml:space="preserve">залучення спеціалістів, експертів та проведення експертизи</w:t>
            </w:r>
            <w:r>
              <w:rPr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 w:firstLine="571" w:left="-4"/>
        <w:rPr>
          <w:sz w:val="28"/>
          <w:szCs w:val="28"/>
        </w:rPr>
        <w:sectPr>
          <w:footerReference w:type="default" r:id="rId14"/>
          <w:footerReference w:type="even" r:id="rId15"/>
          <w:footerReference w:type="first" r:id="rId16"/>
          <w:footnotePr/>
          <w:endnotePr/>
          <w:type w:val="nextPage"/>
          <w:pgSz w:h="11900" w:orient="landscape" w:w="16840"/>
          <w:pgMar w:top="1134" w:right="567" w:bottom="1134" w:left="1701" w:header="709" w:footer="708" w:gutter="0"/>
          <w:cols w:num="1" w:sep="0" w:space="720" w:equalWidth="1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7"/>
        <w:pBdr/>
        <w:spacing w:after="0" w:line="240" w:lineRule="auto"/>
        <w:ind w:firstLine="571" w:left="-4"/>
        <w:rPr>
          <w:sz w:val="28"/>
          <w:szCs w:val="28"/>
        </w:rPr>
      </w:pPr>
      <w:r>
        <w:rPr>
          <w:sz w:val="28"/>
          <w:szCs w:val="28"/>
        </w:rPr>
        <w:t xml:space="preserve">7. Координація та контроль за ходом виконання Програми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Здійснення заходів та контроль за ходом виконання Програми покладається на виконавців, визначених у Програмі.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Виконання Програми здійснюється шляхом реалізації її заходів.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Менська міська рада, виконавчі органи міської ради, які є головними розпорядниками бюджетних коштів, забезпечують реалізацію заходів Програми в повному обсязі та у визначені терміни.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Контроль за використанням бюджетних коштів, спрямованих на забезпечення виконання Програми, здійснюється в порядку, встановленому бюджетним законодавством України.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520"/>
        </w:tabs>
        <w:spacing w:after="0" w:line="240" w:lineRule="auto"/>
        <w:ind w:firstLine="0" w:left="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Начальник юридичного відділу</w:t>
        <w:tab/>
        <w:t xml:space="preserve">Тетяна МАРЦЕВА</w:t>
      </w:r>
      <w:r>
        <w:rPr>
          <w:sz w:val="28"/>
          <w:szCs w:val="28"/>
          <w:highlight w:val="none"/>
        </w:rPr>
      </w:r>
    </w:p>
    <w:sectPr>
      <w:footerReference w:type="default" r:id="rId17"/>
      <w:footerReference w:type="even" r:id="rId18"/>
      <w:footerReference w:type="first" r:id="rId19"/>
      <w:footnotePr/>
      <w:endnotePr/>
      <w:type w:val="nextPage"/>
      <w:pgSz w:h="16840" w:orient="portrait" w:w="11900"/>
      <w:pgMar w:top="1134" w:right="567" w:bottom="1134" w:left="1701" w:header="709" w:footer="494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10915" w:firstLine="0" w:left="-1701"/>
      <w:jc w:val="left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10915" w:firstLine="0" w:left="-1701"/>
      <w:jc w:val="lef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page">
                <wp:posOffset>5969000</wp:posOffset>
              </wp:positionH>
              <wp:positionV relativeFrom="page">
                <wp:posOffset>10121900</wp:posOffset>
              </wp:positionV>
              <wp:extent cx="1574800" cy="558800"/>
              <wp:effectExtent l="0" t="0" r="0" b="0"/>
              <wp:wrapSquare wrapText="bothSides"/>
              <wp:docPr id="1" name="Picture 7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729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748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page;margin-left:470.00pt;mso-position-horizontal:absolute;mso-position-vertical-relative:page;margin-top:797.00pt;mso-position-vertical:absolute;width:124.00pt;height:44.00pt;mso-wrap-distance-left:9.00pt;mso-wrap-distance-top:0.00pt;mso-wrap-distance-right:9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10915" w:firstLine="0" w:left="-1701"/>
      <w:jc w:val="left"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160" w:line="259" w:lineRule="auto"/>
      <w:ind w:firstLine="0" w:left="0"/>
      <w:jc w:val="left"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160" w:line="259" w:lineRule="auto"/>
      <w:ind w:firstLine="0" w:left="0"/>
      <w:jc w:val="left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160" w:line="259" w:lineRule="auto"/>
      <w:ind w:firstLine="0" w:left="0"/>
      <w:jc w:val="left"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160" w:line="259" w:lineRule="auto"/>
      <w:ind w:firstLine="0" w:left="0"/>
      <w:jc w:val="left"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160" w:line="259" w:lineRule="auto"/>
      <w:ind w:firstLine="0" w:left="0"/>
      <w:jc w:val="left"/>
      <w:rPr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160" w:line="259" w:lineRule="auto"/>
      <w:ind w:firstLine="0" w:left="0"/>
      <w:jc w:val="left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tabs>
        <w:tab w:val="center" w:leader="none" w:pos="3969"/>
        <w:tab w:val="left" w:leader="none" w:pos="4535"/>
        <w:tab w:val="clear" w:leader="none" w:pos="4819"/>
        <w:tab w:val="clear" w:leader="none" w:pos="9639"/>
      </w:tabs>
      <w:spacing/>
      <w:ind/>
      <w:jc w:val="right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6</w:t>
    </w:r>
    <w:r>
      <w:fldChar w:fldCharType="end"/>
      <w:tab/>
      <w:t xml:space="preserve">продовження додатку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left="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uk-UA" w:eastAsia="uk-UA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3">
    <w:name w:val="Table Grid"/>
    <w:basedOn w:val="82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4">
    <w:name w:val="Heading 2 Char"/>
    <w:basedOn w:val="826"/>
    <w:link w:val="8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5">
    <w:name w:val="Heading 3 Char"/>
    <w:basedOn w:val="826"/>
    <w:link w:val="8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6">
    <w:name w:val="Heading 4 Char"/>
    <w:basedOn w:val="826"/>
    <w:link w:val="8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7">
    <w:name w:val="Heading 5 Char"/>
    <w:basedOn w:val="826"/>
    <w:link w:val="8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8">
    <w:name w:val="Heading 6 Char"/>
    <w:basedOn w:val="826"/>
    <w:link w:val="8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9">
    <w:name w:val="Heading 7 Char"/>
    <w:basedOn w:val="826"/>
    <w:link w:val="8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0">
    <w:name w:val="Heading 8 Char"/>
    <w:basedOn w:val="826"/>
    <w:link w:val="8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1">
    <w:name w:val="Heading 9 Char"/>
    <w:basedOn w:val="826"/>
    <w:link w:val="8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2">
    <w:name w:val="Title Char"/>
    <w:basedOn w:val="826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3">
    <w:name w:val="Subtitle Char"/>
    <w:basedOn w:val="826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4">
    <w:name w:val="Quote Char"/>
    <w:basedOn w:val="826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5">
    <w:name w:val="Intense Emphasis"/>
    <w:basedOn w:val="8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06">
    <w:name w:val="Intense Quote Char"/>
    <w:basedOn w:val="826"/>
    <w:link w:val="84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07">
    <w:name w:val="Intense Reference"/>
    <w:basedOn w:val="8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8">
    <w:name w:val="Subtle Emphasis"/>
    <w:basedOn w:val="8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9">
    <w:name w:val="Emphasis"/>
    <w:basedOn w:val="826"/>
    <w:uiPriority w:val="20"/>
    <w:qFormat/>
    <w:pPr>
      <w:pBdr/>
      <w:spacing/>
      <w:ind/>
    </w:pPr>
    <w:rPr>
      <w:i/>
      <w:iCs/>
    </w:rPr>
  </w:style>
  <w:style w:type="character" w:styleId="810">
    <w:name w:val="Strong"/>
    <w:basedOn w:val="826"/>
    <w:uiPriority w:val="22"/>
    <w:qFormat/>
    <w:pPr>
      <w:pBdr/>
      <w:spacing/>
      <w:ind/>
    </w:pPr>
    <w:rPr>
      <w:b/>
      <w:bCs/>
    </w:rPr>
  </w:style>
  <w:style w:type="character" w:styleId="811">
    <w:name w:val="Subtle Reference"/>
    <w:basedOn w:val="8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2">
    <w:name w:val="Book Title"/>
    <w:basedOn w:val="8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3">
    <w:name w:val="Footnote Text Char"/>
    <w:basedOn w:val="826"/>
    <w:link w:val="979"/>
    <w:uiPriority w:val="99"/>
    <w:semiHidden/>
    <w:pPr>
      <w:pBdr/>
      <w:spacing/>
      <w:ind/>
    </w:pPr>
    <w:rPr>
      <w:sz w:val="20"/>
      <w:szCs w:val="20"/>
    </w:rPr>
  </w:style>
  <w:style w:type="character" w:styleId="814">
    <w:name w:val="Endnote Text Char"/>
    <w:basedOn w:val="826"/>
    <w:link w:val="982"/>
    <w:uiPriority w:val="99"/>
    <w:semiHidden/>
    <w:pPr>
      <w:pBdr/>
      <w:spacing/>
      <w:ind/>
    </w:pPr>
    <w:rPr>
      <w:sz w:val="20"/>
      <w:szCs w:val="20"/>
    </w:rPr>
  </w:style>
  <w:style w:type="character" w:styleId="815">
    <w:name w:val="FollowedHyperlink"/>
    <w:basedOn w:val="8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16" w:default="1">
    <w:name w:val="Normal"/>
    <w:qFormat/>
    <w:pPr>
      <w:pBdr/>
      <w:spacing w:after="3" w:line="249" w:lineRule="auto"/>
      <w:ind w:hanging="10" w:left="10"/>
      <w:jc w:val="both"/>
    </w:pPr>
    <w:rPr>
      <w:rFonts w:ascii="Times New Roman" w:hAnsi="Times New Roman" w:eastAsia="Times New Roman" w:cs="Times New Roman"/>
      <w:color w:val="000000"/>
      <w:sz w:val="24"/>
    </w:rPr>
  </w:style>
  <w:style w:type="paragraph" w:styleId="817">
    <w:name w:val="Heading 1"/>
    <w:next w:val="816"/>
    <w:link w:val="996"/>
    <w:uiPriority w:val="9"/>
    <w:qFormat/>
    <w:pPr>
      <w:keepNext w:val="true"/>
      <w:keepLines w:val="true"/>
      <w:pBdr/>
      <w:spacing w:after="4" w:line="266" w:lineRule="auto"/>
      <w:ind w:hanging="10" w:left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</w:rPr>
  </w:style>
  <w:style w:type="paragraph" w:styleId="818">
    <w:name w:val="Heading 2"/>
    <w:basedOn w:val="816"/>
    <w:next w:val="816"/>
    <w:link w:val="83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9">
    <w:name w:val="Heading 3"/>
    <w:basedOn w:val="816"/>
    <w:next w:val="816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0">
    <w:name w:val="Heading 4"/>
    <w:basedOn w:val="816"/>
    <w:next w:val="816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1">
    <w:name w:val="Heading 5"/>
    <w:basedOn w:val="816"/>
    <w:next w:val="81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Cs w:val="24"/>
    </w:rPr>
  </w:style>
  <w:style w:type="paragraph" w:styleId="822">
    <w:name w:val="Heading 6"/>
    <w:basedOn w:val="816"/>
    <w:next w:val="816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23">
    <w:name w:val="Heading 7"/>
    <w:basedOn w:val="816"/>
    <w:next w:val="81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24">
    <w:name w:val="Heading 8"/>
    <w:basedOn w:val="816"/>
    <w:next w:val="816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25">
    <w:name w:val="Heading 9"/>
    <w:basedOn w:val="816"/>
    <w:next w:val="81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6" w:default="1">
    <w:name w:val="Default Paragraph Font"/>
    <w:uiPriority w:val="1"/>
    <w:semiHidden/>
    <w:unhideWhenUsed/>
    <w:pPr>
      <w:pBdr/>
      <w:spacing/>
      <w:ind/>
    </w:pPr>
  </w:style>
  <w:style w:type="table" w:styleId="8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8" w:default="1">
    <w:name w:val="No List"/>
    <w:uiPriority w:val="99"/>
    <w:semiHidden/>
    <w:unhideWhenUsed/>
    <w:pPr>
      <w:pBdr/>
      <w:spacing/>
      <w:ind/>
    </w:pPr>
  </w:style>
  <w:style w:type="character" w:styleId="829" w:customStyle="1">
    <w:name w:val="Heading 1 Char"/>
    <w:basedOn w:val="8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0" w:customStyle="1">
    <w:name w:val="Заголовок 2 Знак"/>
    <w:basedOn w:val="826"/>
    <w:link w:val="81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1" w:customStyle="1">
    <w:name w:val="Заголовок 3 Знак"/>
    <w:basedOn w:val="826"/>
    <w:link w:val="8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2" w:customStyle="1">
    <w:name w:val="Заголовок 4 Знак"/>
    <w:basedOn w:val="826"/>
    <w:link w:val="8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3" w:customStyle="1">
    <w:name w:val="Заголовок 5 Знак"/>
    <w:basedOn w:val="826"/>
    <w:link w:val="8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4" w:customStyle="1">
    <w:name w:val="Заголовок 6 Знак"/>
    <w:basedOn w:val="826"/>
    <w:link w:val="82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5" w:customStyle="1">
    <w:name w:val="Заголовок 7 Знак"/>
    <w:basedOn w:val="826"/>
    <w:link w:val="82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6" w:customStyle="1">
    <w:name w:val="Заголовок 8 Знак"/>
    <w:basedOn w:val="826"/>
    <w:link w:val="8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7" w:customStyle="1">
    <w:name w:val="Заголовок 9 Знак"/>
    <w:basedOn w:val="826"/>
    <w:link w:val="8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8">
    <w:name w:val="List Paragraph"/>
    <w:basedOn w:val="816"/>
    <w:uiPriority w:val="34"/>
    <w:qFormat/>
    <w:pPr>
      <w:pBdr/>
      <w:spacing/>
      <w:ind w:left="720"/>
      <w:contextualSpacing w:val="true"/>
    </w:pPr>
  </w:style>
  <w:style w:type="paragraph" w:styleId="839">
    <w:name w:val="No Spacing"/>
    <w:uiPriority w:val="1"/>
    <w:qFormat/>
    <w:pPr>
      <w:pBdr/>
      <w:spacing w:after="0" w:line="240" w:lineRule="auto"/>
      <w:ind/>
    </w:pPr>
  </w:style>
  <w:style w:type="paragraph" w:styleId="840">
    <w:name w:val="Title"/>
    <w:basedOn w:val="816"/>
    <w:next w:val="816"/>
    <w:link w:val="84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1" w:customStyle="1">
    <w:name w:val="Заголовок Знак"/>
    <w:basedOn w:val="826"/>
    <w:link w:val="840"/>
    <w:uiPriority w:val="10"/>
    <w:pPr>
      <w:pBdr/>
      <w:spacing/>
      <w:ind/>
    </w:pPr>
    <w:rPr>
      <w:sz w:val="48"/>
      <w:szCs w:val="48"/>
    </w:rPr>
  </w:style>
  <w:style w:type="paragraph" w:styleId="842">
    <w:name w:val="Subtitle"/>
    <w:basedOn w:val="816"/>
    <w:next w:val="816"/>
    <w:link w:val="843"/>
    <w:uiPriority w:val="11"/>
    <w:qFormat/>
    <w:pPr>
      <w:pBdr/>
      <w:spacing w:after="200" w:before="200"/>
      <w:ind/>
    </w:pPr>
    <w:rPr>
      <w:szCs w:val="24"/>
    </w:rPr>
  </w:style>
  <w:style w:type="character" w:styleId="843" w:customStyle="1">
    <w:name w:val="Подзаголовок Знак"/>
    <w:basedOn w:val="826"/>
    <w:link w:val="842"/>
    <w:uiPriority w:val="11"/>
    <w:pPr>
      <w:pBdr/>
      <w:spacing/>
      <w:ind/>
    </w:pPr>
    <w:rPr>
      <w:sz w:val="24"/>
      <w:szCs w:val="24"/>
    </w:rPr>
  </w:style>
  <w:style w:type="paragraph" w:styleId="844">
    <w:name w:val="Quote"/>
    <w:basedOn w:val="816"/>
    <w:next w:val="816"/>
    <w:link w:val="845"/>
    <w:uiPriority w:val="29"/>
    <w:qFormat/>
    <w:pPr>
      <w:pBdr/>
      <w:spacing/>
      <w:ind w:right="720" w:left="720"/>
    </w:pPr>
    <w:rPr>
      <w:i/>
    </w:rPr>
  </w:style>
  <w:style w:type="character" w:styleId="845" w:customStyle="1">
    <w:name w:val="Цитата 2 Знак"/>
    <w:link w:val="844"/>
    <w:uiPriority w:val="29"/>
    <w:pPr>
      <w:pBdr/>
      <w:spacing/>
      <w:ind/>
    </w:pPr>
    <w:rPr>
      <w:i/>
    </w:rPr>
  </w:style>
  <w:style w:type="paragraph" w:styleId="846">
    <w:name w:val="Intense Quote"/>
    <w:basedOn w:val="816"/>
    <w:next w:val="816"/>
    <w:link w:val="84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7" w:customStyle="1">
    <w:name w:val="Выделенная цитата Знак"/>
    <w:link w:val="846"/>
    <w:uiPriority w:val="30"/>
    <w:pPr>
      <w:pBdr/>
      <w:spacing/>
      <w:ind/>
    </w:pPr>
    <w:rPr>
      <w:i/>
    </w:rPr>
  </w:style>
  <w:style w:type="character" w:styleId="848" w:customStyle="1">
    <w:name w:val="Header Char"/>
    <w:basedOn w:val="826"/>
    <w:uiPriority w:val="99"/>
    <w:pPr>
      <w:pBdr/>
      <w:spacing/>
      <w:ind/>
    </w:pPr>
  </w:style>
  <w:style w:type="paragraph" w:styleId="849">
    <w:name w:val="Footer"/>
    <w:basedOn w:val="816"/>
    <w:link w:val="8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0" w:customStyle="1">
    <w:name w:val="Footer Char"/>
    <w:basedOn w:val="826"/>
    <w:uiPriority w:val="99"/>
    <w:pPr>
      <w:pBdr/>
      <w:spacing/>
      <w:ind/>
    </w:pPr>
  </w:style>
  <w:style w:type="paragraph" w:styleId="851">
    <w:name w:val="Caption"/>
    <w:basedOn w:val="816"/>
    <w:next w:val="816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52" w:customStyle="1">
    <w:name w:val="Нижний колонтитул Знак"/>
    <w:link w:val="849"/>
    <w:uiPriority w:val="99"/>
    <w:pPr>
      <w:pBdr/>
      <w:spacing/>
      <w:ind/>
    </w:pPr>
  </w:style>
  <w:style w:type="table" w:styleId="853" w:customStyle="1">
    <w:name w:val="Table Grid Light"/>
    <w:basedOn w:val="8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1"/>
    <w:basedOn w:val="8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2"/>
    <w:basedOn w:val="82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1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2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3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4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5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6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1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2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3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4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5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6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1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2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3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4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5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6"/>
    <w:basedOn w:val="827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79">
    <w:name w:val="footnote text"/>
    <w:basedOn w:val="816"/>
    <w:link w:val="98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80" w:customStyle="1">
    <w:name w:val="Текст сноски Знак"/>
    <w:link w:val="979"/>
    <w:uiPriority w:val="99"/>
    <w:pPr>
      <w:pBdr/>
      <w:spacing/>
      <w:ind/>
    </w:pPr>
    <w:rPr>
      <w:sz w:val="18"/>
    </w:rPr>
  </w:style>
  <w:style w:type="character" w:styleId="981">
    <w:name w:val="footnote reference"/>
    <w:basedOn w:val="826"/>
    <w:uiPriority w:val="99"/>
    <w:unhideWhenUsed/>
    <w:pPr>
      <w:pBdr/>
      <w:spacing/>
      <w:ind/>
    </w:pPr>
    <w:rPr>
      <w:vertAlign w:val="superscript"/>
    </w:rPr>
  </w:style>
  <w:style w:type="paragraph" w:styleId="982">
    <w:name w:val="endnote text"/>
    <w:basedOn w:val="816"/>
    <w:link w:val="98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83" w:customStyle="1">
    <w:name w:val="Текст концевой сноски Знак"/>
    <w:link w:val="982"/>
    <w:uiPriority w:val="99"/>
    <w:pPr>
      <w:pBdr/>
      <w:spacing/>
      <w:ind/>
    </w:pPr>
    <w:rPr>
      <w:sz w:val="20"/>
    </w:rPr>
  </w:style>
  <w:style w:type="character" w:styleId="984">
    <w:name w:val="endnote reference"/>
    <w:basedOn w:val="826"/>
    <w:uiPriority w:val="99"/>
    <w:semiHidden/>
    <w:unhideWhenUsed/>
    <w:pPr>
      <w:pBdr/>
      <w:spacing/>
      <w:ind/>
    </w:pPr>
    <w:rPr>
      <w:vertAlign w:val="superscript"/>
    </w:rPr>
  </w:style>
  <w:style w:type="paragraph" w:styleId="985">
    <w:name w:val="toc 1"/>
    <w:basedOn w:val="816"/>
    <w:next w:val="816"/>
    <w:uiPriority w:val="39"/>
    <w:unhideWhenUsed/>
    <w:pPr>
      <w:pBdr/>
      <w:spacing w:after="57"/>
      <w:ind w:firstLine="0" w:left="0"/>
    </w:pPr>
  </w:style>
  <w:style w:type="paragraph" w:styleId="986">
    <w:name w:val="toc 2"/>
    <w:basedOn w:val="816"/>
    <w:next w:val="816"/>
    <w:uiPriority w:val="39"/>
    <w:unhideWhenUsed/>
    <w:pPr>
      <w:pBdr/>
      <w:spacing w:after="57"/>
      <w:ind w:firstLine="0" w:left="283"/>
    </w:pPr>
  </w:style>
  <w:style w:type="paragraph" w:styleId="987">
    <w:name w:val="toc 3"/>
    <w:basedOn w:val="816"/>
    <w:next w:val="816"/>
    <w:uiPriority w:val="39"/>
    <w:unhideWhenUsed/>
    <w:pPr>
      <w:pBdr/>
      <w:spacing w:after="57"/>
      <w:ind w:firstLine="0" w:left="567"/>
    </w:pPr>
  </w:style>
  <w:style w:type="paragraph" w:styleId="988">
    <w:name w:val="toc 4"/>
    <w:basedOn w:val="816"/>
    <w:next w:val="816"/>
    <w:uiPriority w:val="39"/>
    <w:unhideWhenUsed/>
    <w:pPr>
      <w:pBdr/>
      <w:spacing w:after="57"/>
      <w:ind w:firstLine="0" w:left="850"/>
    </w:pPr>
  </w:style>
  <w:style w:type="paragraph" w:styleId="989">
    <w:name w:val="toc 5"/>
    <w:basedOn w:val="816"/>
    <w:next w:val="816"/>
    <w:uiPriority w:val="39"/>
    <w:unhideWhenUsed/>
    <w:pPr>
      <w:pBdr/>
      <w:spacing w:after="57"/>
      <w:ind w:firstLine="0" w:left="1134"/>
    </w:pPr>
  </w:style>
  <w:style w:type="paragraph" w:styleId="990">
    <w:name w:val="toc 6"/>
    <w:basedOn w:val="816"/>
    <w:next w:val="816"/>
    <w:uiPriority w:val="39"/>
    <w:unhideWhenUsed/>
    <w:pPr>
      <w:pBdr/>
      <w:spacing w:after="57"/>
      <w:ind w:firstLine="0" w:left="1417"/>
    </w:pPr>
  </w:style>
  <w:style w:type="paragraph" w:styleId="991">
    <w:name w:val="toc 7"/>
    <w:basedOn w:val="816"/>
    <w:next w:val="816"/>
    <w:uiPriority w:val="39"/>
    <w:unhideWhenUsed/>
    <w:pPr>
      <w:pBdr/>
      <w:spacing w:after="57"/>
      <w:ind w:firstLine="0" w:left="1701"/>
    </w:pPr>
  </w:style>
  <w:style w:type="paragraph" w:styleId="992">
    <w:name w:val="toc 8"/>
    <w:basedOn w:val="816"/>
    <w:next w:val="816"/>
    <w:uiPriority w:val="39"/>
    <w:unhideWhenUsed/>
    <w:pPr>
      <w:pBdr/>
      <w:spacing w:after="57"/>
      <w:ind w:firstLine="0" w:left="1984"/>
    </w:pPr>
  </w:style>
  <w:style w:type="paragraph" w:styleId="993">
    <w:name w:val="toc 9"/>
    <w:basedOn w:val="816"/>
    <w:next w:val="816"/>
    <w:uiPriority w:val="39"/>
    <w:unhideWhenUsed/>
    <w:pPr>
      <w:pBdr/>
      <w:spacing w:after="57"/>
      <w:ind w:firstLine="0" w:left="2268"/>
    </w:p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816"/>
    <w:next w:val="816"/>
    <w:uiPriority w:val="99"/>
    <w:unhideWhenUsed/>
    <w:pPr>
      <w:pBdr/>
      <w:spacing w:after="0"/>
      <w:ind/>
    </w:pPr>
  </w:style>
  <w:style w:type="character" w:styleId="996" w:customStyle="1">
    <w:name w:val="Заголовок 1 Знак"/>
    <w:link w:val="817"/>
    <w:pPr>
      <w:pBdr/>
      <w:spacing/>
      <w:ind/>
    </w:pPr>
    <w:rPr>
      <w:rFonts w:ascii="Times New Roman" w:hAnsi="Times New Roman" w:eastAsia="Times New Roman" w:cs="Times New Roman"/>
      <w:b/>
      <w:color w:val="000000"/>
      <w:sz w:val="24"/>
    </w:rPr>
  </w:style>
  <w:style w:type="table" w:styleId="997" w:customStyle="1">
    <w:name w:val="Сетка таблицы1"/>
    <w:pPr>
      <w:pBdr/>
      <w:spacing w:after="0" w:line="240" w:lineRule="auto"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8">
    <w:name w:val="Header"/>
    <w:basedOn w:val="816"/>
    <w:link w:val="999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99" w:customStyle="1">
    <w:name w:val="Верхний колонтитул Знак"/>
    <w:basedOn w:val="826"/>
    <w:link w:val="998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footer" Target="footer5.xml" /><Relationship Id="rId16" Type="http://schemas.openxmlformats.org/officeDocument/2006/relationships/footer" Target="footer6.xml" /><Relationship Id="rId17" Type="http://schemas.openxmlformats.org/officeDocument/2006/relationships/footer" Target="footer7.xml" /><Relationship Id="rId18" Type="http://schemas.openxmlformats.org/officeDocument/2006/relationships/footer" Target="footer8.xml" /><Relationship Id="rId19" Type="http://schemas.openxmlformats.org/officeDocument/2006/relationships/footer" Target="footer9.xml" /><Relationship Id="rId20" Type="http://schemas.openxmlformats.org/officeDocument/2006/relationships/customXml" Target="../customXml/item1.xml" /><Relationship Id="rId21" Type="http://schemas.openxmlformats.org/officeDocument/2006/relationships/image" Target="media/image2.png"/><Relationship Id="rId22" Type="http://schemas.openxmlformats.org/officeDocument/2006/relationships/hyperlink" Target="http://search.ligazakon.ua/l_doc2.nsf/link1/ed_2016_10_11/pravo1/KP110845.html?pravo=1" TargetMode="External"/><Relationship Id="rId23" Type="http://schemas.openxmlformats.org/officeDocument/2006/relationships/hyperlink" Target="http://search.ligazakon.ua/l_doc2.nsf/link1/ed_2016_10_11/pravo1/KP110845.html?pravo=1" TargetMode="External"/><Relationship Id="rId24" Type="http://schemas.openxmlformats.org/officeDocument/2006/relationships/hyperlink" Target="http://search.ligazakon.ua/l_doc2.nsf/link1/ed_2016_10_11/pravo1/KP110845.html?pravo=1" TargetMode="External"/><Relationship Id="rId25" Type="http://schemas.openxmlformats.org/officeDocument/2006/relationships/hyperlink" Target="http://search.ligazakon.ua/l_doc2.nsf/link1/ed_2016_10_11/pravo1/KP110845.html?pravo=1" TargetMode="External"/><Relationship Id="rId26" Type="http://schemas.openxmlformats.org/officeDocument/2006/relationships/hyperlink" Target="http://search.ligazakon.ua/l_doc2.nsf/link1/ed_2016_10_11/pravo1/KP110845.html?pravo=1" TargetMode="External"/><Relationship Id="rId27" Type="http://schemas.openxmlformats.org/officeDocument/2006/relationships/hyperlink" Target="http://search.ligazakon.ua/l_doc2.nsf/link1/ed_2016_10_11/pravo1/KP110845.html?pravo=1" TargetMode="External"/><Relationship Id="rId28" Type="http://schemas.openxmlformats.org/officeDocument/2006/relationships/hyperlink" Target="http://search.ligazakon.ua/l_doc2.nsf/link1/ed_2016_10_11/pravo1/KP110845.html?pravo=1" TargetMode="External"/><Relationship Id="rId29" Type="http://schemas.openxmlformats.org/officeDocument/2006/relationships/hyperlink" Target="http://search.ligazakon.ua/l_doc2.nsf/link1/ed_2016_10_11/pravo1/KP110845.html?pravo=1" TargetMode="External"/><Relationship Id="rId30" Type="http://schemas.openxmlformats.org/officeDocument/2006/relationships/hyperlink" Target="http://search.ligazakon.ua/l_doc2.nsf/link1/ed_2016_10_11/pravo1/KP110845.html?pravo=1" TargetMode="External"/><Relationship Id="rId31" Type="http://schemas.openxmlformats.org/officeDocument/2006/relationships/hyperlink" Target="http://search.ligazakon.ua/l_doc2.nsf/link1/ed_2016_10_11/pravo1/KP110845.html?pravo=1" TargetMode="External"/><Relationship Id="rId32" Type="http://schemas.openxmlformats.org/officeDocument/2006/relationships/hyperlink" Target="http://search.ligazakon.ua/l_doc2.nsf/link1/ed_2016_10_11/pravo1/KP110845.html?pravo=1" TargetMode="External"/><Relationship Id="rId33" Type="http://schemas.openxmlformats.org/officeDocument/2006/relationships/hyperlink" Target="http://search.ligazakon.ua/l_doc2.nsf/link1/ed_2016_10_11/pravo1/KP110845.html?pravo=1" TargetMode="External"/><Relationship Id="rId34" Type="http://schemas.openxmlformats.org/officeDocument/2006/relationships/hyperlink" Target="http://search.ligazakon.ua/l_doc2.nsf/link1/ed_2016_10_11/pravo1/KP110845.html?pravo=1" TargetMode="External"/><Relationship Id="rId35" Type="http://schemas.openxmlformats.org/officeDocument/2006/relationships/hyperlink" Target="http://zakon.rada.gov.ua/laws/show/845-2011-%D0%A0%D1%97%23n299" TargetMode="External"/><Relationship Id="rId36" Type="http://schemas.openxmlformats.org/officeDocument/2006/relationships/hyperlink" Target="http://zakon.rada.gov.ua/laws/show/845-2011-%D0%A0%D1%97%23n299" TargetMode="External"/><Relationship Id="rId37" Type="http://schemas.openxmlformats.org/officeDocument/2006/relationships/hyperlink" Target="http://zakon.rada.gov.ua/laws/show/845-2011-%D0%A0%D1%97%23n299" TargetMode="External"/><Relationship Id="rId38" Type="http://schemas.openxmlformats.org/officeDocument/2006/relationships/hyperlink" Target="https://zakon.rada.gov.ua/laws/show/45-2013-%D0%BF%23n12" TargetMode="External"/><Relationship Id="rId39" Type="http://schemas.openxmlformats.org/officeDocument/2006/relationships/hyperlink" Target="https://zakon.rada.gov.ua/laws/show/45-2013-%D0%BF%23n12" TargetMode="External"/><Relationship Id="rId40" Type="http://schemas.openxmlformats.org/officeDocument/2006/relationships/hyperlink" Target="https://zakon.rada.gov.ua/laws/show/45-2013-%D0%BF%23n12" TargetMode="External"/><Relationship Id="rId41" Type="http://schemas.openxmlformats.org/officeDocument/2006/relationships/hyperlink" Target="https://zakon.rada.gov.ua/laws/show/45-2013-%D0%BF%23n12" TargetMode="External"/><Relationship Id="rId42" Type="http://schemas.openxmlformats.org/officeDocument/2006/relationships/hyperlink" Target="https://zakon.rada.gov.ua/laws/show/45-2013-%D0%BF%23n12" TargetMode="External"/><Relationship Id="rId43" Type="http://schemas.openxmlformats.org/officeDocument/2006/relationships/hyperlink" Target="https://zakon.rada.gov.ua/laws/show/45-2013-%D0%BF%23n12" TargetMode="External"/><Relationship Id="rId44" Type="http://schemas.openxmlformats.org/officeDocument/2006/relationships/hyperlink" Target="https://zakon.rada.gov.ua/laws/show/45-2013-%D0%BF%23n12" TargetMode="External"/><Relationship Id="rId45" Type="http://schemas.openxmlformats.org/officeDocument/2006/relationships/hyperlink" Target="https://zakon.rada.gov.ua/laws/show/45-2013-%D0%BF%23n12" TargetMode="External"/><Relationship Id="rId46" Type="http://schemas.openxmlformats.org/officeDocument/2006/relationships/hyperlink" Target="https://zakon.rada.gov.ua/laws/show/45-2013-%D0%BF%23n12" TargetMode="External"/><Relationship Id="rId47" Type="http://schemas.openxmlformats.org/officeDocument/2006/relationships/hyperlink" Target="https://zakon.rada.gov.ua/laws/show/45-2013-%D0%BF%23n12" TargetMode="External"/><Relationship Id="rId48" Type="http://schemas.openxmlformats.org/officeDocument/2006/relationships/hyperlink" Target="https://zakon.rada.gov.ua/laws/show/45-2013-%D0%BF%23n12" TargetMode="External"/><Relationship Id="rId49" Type="http://schemas.openxmlformats.org/officeDocument/2006/relationships/hyperlink" Target="https://zakon.rada.gov.ua/laws/show/45-2013-%D0%BF%23n12" TargetMode="External"/><Relationship Id="rId50" Type="http://schemas.openxmlformats.org/officeDocument/2006/relationships/hyperlink" Target="https://zakon.rada.gov.ua/laws/show/45-2013-%D0%BF%23n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ТМР</dc:creator>
  <cp:keywords/>
  <cp:lastModifiedBy>СТАЛЬНИЧЕНКО Юрій Валерійович</cp:lastModifiedBy>
  <cp:revision>8</cp:revision>
  <dcterms:created xsi:type="dcterms:W3CDTF">2025-04-22T13:46:00Z</dcterms:created>
  <dcterms:modified xsi:type="dcterms:W3CDTF">2025-04-24T16:08:47Z</dcterms:modified>
</cp:coreProperties>
</file>