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8 скликання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lef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ПОРЯДОК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складання, затвердження та контролю виконання фінансових планів комунальних некомерційних підприємств  в галузі охорони здоров’я, що належать до комунальної власності Менської міської територіальної громади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</w:p>
    <w:p>
      <w:pPr>
        <w:pStyle w:val="875"/>
        <w:numPr>
          <w:ilvl w:val="0"/>
          <w:numId w:val="6"/>
        </w:num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Загальні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Комунальне некомерційне товариство є непідприємницьким товариством, єдиним учасником (засновником) якого є територіальна громада.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Style w:val="875"/>
        <w:pBdr/>
        <w:shd w:val="clear" w:color="auto" w:fill="ffffff"/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Основним плановим докумен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том комунального некомерційного товариства є фінансовий план, відповідно до якого товариство отримує доходи і здійснює видатки, визначає обсяг та спрямування коштів для виконання своїх функцій протягом календарного року відповідно до установчих документів.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Фінансовий план підприємства – документ, який визначає показники діяльності підприємства на плановий рік, а також очікувані фінансові результати, обсяги доходів і витрат та спрямування коштів для виконання своїх функцій протягом року.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Фінансовий план підприємства розробляється згідно з формою подання даних щодо фінансового плану, затве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рдженою цим порядком, на кожний наступний рік з поквартальною розбивкою, яка містить інформацію щодо фактичних показників минулого року, планових і прогнозних показників поточного року, а також показників діяльності підприємства на стратегічну перспективу.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Цей 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орядок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визначає процедуру складання, погодження, затвердження та контролю виконання фінансового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плану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комунальних некомерційних підприємств, що належать до комунальної власності Менської міської територіальної громади (далі – Порядок)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Під час складання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прогнозу,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фінансового плану, звіту про його виконання та підготовки пояснювальної записки підприємство може використовувати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етодичні рекомендації щодо розроблення фінансового плану суб’єкта господарювання державного сектору економіки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(Наказ Мінекономіки від 18.11.2024 № 26119)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2. Складання фінансового плану</w:t>
      </w: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2.1. Фінансовий план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/прогноз фінансового плану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ідприємств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розробляється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згідно цього Порядку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та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містить інформацію щодо фактичних показників минулого року, планових і прогнозних показників поточного року, а також показників діяльності підприємства на стратегічну перспективу.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Вимоги до складання прогнозу фінансового плану такі ж як і до складання фінансового плану.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2.1.1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Прогноз 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– прогноз діяльності підприємства на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стратегічну перспективу, який передбачає планування на плановий та наступні 4 роки, </w:t>
      </w:r>
      <w:bookmarkStart w:id="0" w:name="_Hlk195604903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 формою згідно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Додатком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2.1.2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Фінансовий план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план діяльності підприємства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плановий рік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поквартальною розбивкою,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 формою згідно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Додатком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Фінансовий план підприємства повинен визначати основні показники фінансово-господарської 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іяльності, основні джерела та напрями спрямування коштів для забезпечення потреб діяльності підприємства, реалізації розвитку підприємств, забезпечення витрат та виконання зобов’язань, включаючи зобов’язання перед бюджетами та державними цільовими фондами.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Показники проєкту фінансового плану підприємства на рік узгоджуються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 Відділом соціального захисту населення та охорони здоров’я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перед розглядом плану Фінансовим управлінням та Наглядовою радою.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До проєкту фінансового плану підприємства рекомендовано додавати: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фінансову звітність на останню звітну дату поточного року за формою, визначеною Національним положенням (стандартом) бухгал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терського обліку 1 “Загальні вимоги до фінансової звітності”, затвердженим наказом Міністерства фінансів України від 07 лютого 2013 року № 73, зареєстрованим у Міністерстві юстиції України 28 лютого 2013 року за № 336/22868, зокрема баланс (звіт про фінанс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овий стан) (форма № 1) (з розшифруванням статей балансу, що становлять більше 10 відсотків валюти балансу), звіт про фінансові результати (звіт про сукупний дохід) (форма № 2), звіт про рух грошових коштів (форма № 3), звіт про власний капітал (форма № 4);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пояснювальн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записка, що включає результати аналізу фінансово-господарської діяльності за попередній рік, а також показники господарської діяльності та розвитку підприємства в поточному році та на плановий рік.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фінансового плану подається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розгляд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наглядовій раді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2.4.1 </w:t>
      </w:r>
      <w:bookmarkStart w:id="1" w:name="_Hlk195605292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прогнозу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фінансового плану подається наглядовій раді,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разом з пояснювальною запискою до 01 липня року, що передує плановому.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2.4.2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фінансового плану подається наглядовій раді, разом з пояснювальною запискою до 01 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истопада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року, що передує плановому.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інансовий план підприємства затверджується Відділом соціального захисту населення та охорони здоров’я Менської міської ради у випадках, визначених законодавством.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2.5.1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Прогноз 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план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підприємства затверджується до 01 вересня року, що передує плановому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2.5.2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інансовий план підприємства затверджується 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грудня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року, що передує плановому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міни до затвердженого фінансового плану підприємства можуть уноситися протягом усього планового періоду та в році, у якому фінансовий план підлягав затвердженню.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Не рекомендовано вносити зміни до фінансового плану підприємства в періоди, календарний строк яких закінчився.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У разі внесення змін до показник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господарської діяльності та розвитку підприємства рекомендується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внести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зміни до фінансового плану підприємства.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/>
      <w:bookmarkStart w:id="2" w:name="_Hlk193966862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Зміни до затвердженого фінансового плану підприємства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вносяться за погодженням з Відділом соціального захисту населення та охорони здоров’я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2.7 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е підлягає затвердженню/погодженню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інансовий план підприємства за рік, що минув,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  <w:bookmarkEnd w:id="2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3. Погодження та затвердження</w:t>
      </w:r>
      <w:r>
        <w:rPr>
          <w:rFonts w:ascii="Times New Roman" w:hAnsi="Times New Roman" w:eastAsia="Times New Roman" w:cs="Times New Roman"/>
          <w:b/>
          <w:color w:val="00b0f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фінансового плану</w:t>
      </w:r>
      <w:r>
        <w:rPr>
          <w:rFonts w:ascii="Times New Roman" w:hAnsi="Times New Roman" w:eastAsia="Times New Roman" w:cs="Times New Roman"/>
          <w:b/>
          <w:sz w:val="27"/>
          <w:szCs w:val="27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3.1.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Розгляд та погодження проект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фінансового плану Підприємства на рік (згідно додатк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-2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), здійснюється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наглядов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ою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рад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ою,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bookmarkStart w:id="3" w:name="_Hlk193886481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Відділ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соціального захисту населення та охорони здоров’я Менської міської ради</w:t>
      </w:r>
      <w:bookmarkEnd w:id="3"/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 управлінн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ям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3.1.1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Фінансове управління Менської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міської ради після надходження проекту фінансового плану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ідприємства, протягом двох тижнів здійснює аналіз проекту фінансового плану підприємства з порівнянням його показників з показниками фінансово-господарської діяльності підприємства за два попередні роки, приймає рішення щодо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направлення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фінансового плану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розгляд наглядової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або повернення його на доопрацювання та повідомляє підприємство про прийняте рішення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(у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разі повернення проекту фінансового плану на доопрацювання підприємство забезпечує його доопрацювання з урахуванням зауважень та подає його на повторне погодження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не більше як 10 робочих днів з дня надходження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проекту до підприємства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3.1.2 Ч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лени наглядової ради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розгляд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ають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фінансового плану Підприємства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можуть вносити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пропозиції щодо внесення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змін, доповнення до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фінсового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плану, повертати на доопрацювання.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3.1.3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Пропозиції, надані наглядовою радою суб’єкта господарювання, розглядаються Відділом соціального захисту населення та охорони здоров’я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та Підприємством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результатами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розгляду вносяться зміни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згідно рекомендацій. Про що повідомляють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Наглядову раду та Фінансове управління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Після розгляду пропозицій з урахуванням внесених змін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фінансового плану подається Фінансовому управлінню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red"/>
        </w:rPr>
      </w:pPr>
      <w:r>
        <w:rPr>
          <w:highlight w:val="red"/>
        </w:rPr>
      </w:r>
      <w:bookmarkStart w:id="4" w:name="_Hlk193970883"/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</w:r>
      <w:commentRangeStart w:id="0"/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Відділ соціального захисту населення та охорони здоров’я Менської міської ради</w:t>
      </w:r>
      <w:bookmarkEnd w:id="4"/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,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 готує </w:t>
      </w:r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 рішення виконавчому комітету Менської міської ради про </w:t>
      </w:r>
      <w:commentRangeStart w:id="1"/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погодження </w:t>
      </w:r>
      <w:commentRangeEnd w:id="1"/>
      <w:r>
        <w:commentReference w:id="1"/>
      </w:r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  <w:t xml:space="preserve">фінансового плану комунального підприємства.</w:t>
      </w:r>
      <w:r>
        <w:rPr>
          <w:rFonts w:ascii="Times New Roman" w:hAnsi="Times New Roman" w:eastAsia="Times New Roman" w:cs="Times New Roman"/>
          <w:sz w:val="28"/>
          <w:szCs w:val="28"/>
          <w:highlight w:val="red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3.2 У разі повернення проекту фінансового плану на доопрацювання, Підприємство забезпечує його доопрацювання з урахуванням зауважень та подає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його на повторний розгляд протягом 5 робочих днів з дня надходження проекту до підприємства.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3.3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Фінансовий план, після його погодження членами наглядової ради, затверджується Відділом соціального захисту населення та охорони здоров’я Менської міської ради, шляхом розгляду його та прийняття відповідного наказу.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Ф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інансов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план Підприємства на рік (згідно додатку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),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підписаний керівником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та затверджений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Відділом соціального захисту населення та охорони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здоров’я Менської міської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, у паперовому та електронному  вигляді 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подається Фінансовому управлінню Менської міської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ради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після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його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затвердження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, але не пізніше останнього дня поточного місяця з дня затвердження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3.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П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ісля затвердження бюджету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на плановий рік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, в разі виділення коштів з місцевого бюджету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комунальному підприємству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Підприємство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вносить зміни до фінансового плану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з обов’язковим погодженням показників, в частині фінансування з міського бюджету, з Фінансовим управлінням Менської міської ради.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6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 потреби до фінансового плану Підприємства можуть вноситися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зміни на плановий період в порядку передбаченому для погодження та затвердження.</w:t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Зміни до фінансового плану Підприємства не можуть вноситись у періоди, за якими минув строк звітування.</w:t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3.7 Фінансовий план Підприємства (зі змінами за період)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разом з пояснювальною запискою про причини таких змін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подається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не пізніше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5 днів після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затвердження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Після затвердження зміненого фінансового плану підприємства, на ньому ставиться відмітка «Змінений» та дата затвердження.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3.8 Погодження, надання пропозицій та зауважень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на стадії розгляду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здійснюється в письмовому вигляді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4. Звіт про виконання фінансового плану.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4.1 Звіт про виконання фінансового плану (далі – звіт) складається окремо щокварталу за формами, наведеними у додатку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3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 цього Порядку не пізніше 45 днів після закінчення звітного періоду.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4.2. Звіт в паперовому та електронному вигляді підприємство надає  Відділу соціального захисту населення та охорони здоров’я Менської 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іської ради щоквартально в строки, встановлені для подання фінансової звітності, разом із пояснювальною запискою щодо результатів діяльності за звітний період із зазначенням за окремими факторами причин значних відхилень фактичних показників від планових. 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Відділ соціального захисту населення та охорони здоров’я Менської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пода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Фінансового управління Менської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звіти про виконання фінансових планів окремо щодо кожного підприємства разом з пояснювальною запискою щодо результатів діяльності підприємства із зазначенням значних відхилень фактичних показників від планових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 звіту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рекомендовано додавати: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баланс (звіт про фінансовий стан) підприємства на останню звітну дату з розшифруванням статей, що становлять більше ніж 10 відсотків валюти балансу;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звіт про фінансові результати (звіт про сукупний дохід) підприємства за останній звітний період;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П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оказники виконання фінансових планів підприємств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якщо інше не передбачено іншими нормативними актами,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подавати: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за IV квартал та рік – до 01 квітня року, що настає за звітним;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за I, II та III квартали – щокварталу, не пізніше 45 днів після закінчення звітного кварталу.</w:t>
      </w:r>
      <w:r>
        <w:rPr>
          <w:rFonts w:ascii="Times New Roman" w:hAnsi="Times New Roman"/>
          <w:sz w:val="28"/>
          <w:szCs w:val="28"/>
          <w:lang w:val="uk-UA" w:eastAsia="ar-SA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5. Контроль за виконанням фінансового плану</w:t>
      </w: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5.1 Відповідальність за належну та своєчасну підготовку фінансового плану, достовірність звітних показників та обґрунтованість планових показників несе керівник підприємства або посадова особа підприємства, на яку покладено виконання обов’язків керівника.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5.2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 несвоєчасне подання на розгляд,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відповідальність, встановлену законом.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lang w:val="uk-UA"/>
        </w:rPr>
        <w:t xml:space="preserve">Фінансового управління</w:t>
      </w:r>
      <w:r>
        <w:rPr>
          <w:rFonts w:ascii="Times New Roman" w:hAnsi="Times New Roman" w:cs="Times New Roman"/>
          <w:sz w:val="28"/>
          <w:lang w:val="uk-UA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Менської міської ради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Алла НЕРОСЛИК</w:t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ТАЛЬНИЧЕНКО Юрій Валерійович" w:date="2025-04-22T20:04:15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немає потреби у погодженні виконкомом, адже у нас є виконавчий орган,  у якого всі функції</w:t>
      </w:r>
    </w:p>
  </w:comment>
  <w:comment w:id="0" w:author="СТАЛЬНИЧЕНКО Юрій Валерійович" w:date="2025-04-22T20:03:18Z" w:initials="СЮ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Відділ соціального захисту населення та охорони здоров’я Менської міської ради і є виконавчим органом, тому він сам повинен затверджувати Фінансовий план своїм нормативним документом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5F64105" w16cex:dateUtc="2025-04-22T17:04:15Z"/>
  <w16cex:commentExtensible w16cex:durableId="253F23BB" w16cex:dateUtc="2025-04-22T17:03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5F64105"/>
  <w16cid:commentId w16cid:paraId="00000002" w16cid:durableId="253F2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choolBookAC">
    <w:panose1 w:val="02070409020205020404"/>
  </w:font>
  <w:font w:name="BalticaC">
    <w:panose1 w:val="02070409020205020404"/>
  </w:font>
  <w:font w:name="Times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690" w:left="69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690" w:left="1257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89"/>
    <w:link w:val="6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9"/>
    <w:link w:val="6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9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9"/>
    <w:link w:val="6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9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9"/>
    <w:link w:val="6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9"/>
    <w:link w:val="6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9"/>
    <w:link w:val="6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9"/>
    <w:link w:val="6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89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89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89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89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89"/>
    <w:link w:val="850"/>
    <w:uiPriority w:val="99"/>
    <w:pPr>
      <w:pBdr/>
      <w:spacing/>
      <w:ind/>
    </w:pPr>
  </w:style>
  <w:style w:type="character" w:styleId="178">
    <w:name w:val="Footer Char"/>
    <w:basedOn w:val="689"/>
    <w:link w:val="852"/>
    <w:uiPriority w:val="99"/>
    <w:pPr>
      <w:pBdr/>
      <w:spacing/>
      <w:ind/>
    </w:pPr>
  </w:style>
  <w:style w:type="character" w:styleId="181">
    <w:name w:val="Footnote Text Char"/>
    <w:basedOn w:val="689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89"/>
    <w:link w:val="858"/>
    <w:uiPriority w:val="99"/>
    <w:semiHidden/>
    <w:pPr>
      <w:pBdr/>
      <w:spacing/>
      <w:ind/>
    </w:pPr>
    <w:rPr>
      <w:sz w:val="20"/>
      <w:szCs w:val="20"/>
    </w:rPr>
  </w:style>
  <w:style w:type="paragraph" w:styleId="679" w:default="1">
    <w:name w:val="Normal"/>
    <w:qFormat/>
    <w:pPr>
      <w:pBdr/>
      <w:spacing/>
      <w:ind/>
    </w:pPr>
  </w:style>
  <w:style w:type="paragraph" w:styleId="680">
    <w:name w:val="Heading 1"/>
    <w:basedOn w:val="679"/>
    <w:next w:val="679"/>
    <w:link w:val="8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81">
    <w:name w:val="Heading 2"/>
    <w:basedOn w:val="679"/>
    <w:next w:val="679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82">
    <w:name w:val="Heading 3"/>
    <w:basedOn w:val="679"/>
    <w:next w:val="679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683">
    <w:name w:val="Heading 4"/>
    <w:basedOn w:val="679"/>
    <w:next w:val="679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684">
    <w:name w:val="Heading 5"/>
    <w:basedOn w:val="679"/>
    <w:next w:val="679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85">
    <w:name w:val="Heading 6"/>
    <w:basedOn w:val="679"/>
    <w:next w:val="679"/>
    <w:link w:val="8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6">
    <w:name w:val="Heading 7"/>
    <w:basedOn w:val="679"/>
    <w:next w:val="679"/>
    <w:link w:val="8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7">
    <w:name w:val="Heading 8"/>
    <w:basedOn w:val="679"/>
    <w:next w:val="679"/>
    <w:link w:val="8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8">
    <w:name w:val="Heading 9"/>
    <w:basedOn w:val="679"/>
    <w:next w:val="679"/>
    <w:link w:val="8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89" w:default="1">
    <w:name w:val="Default Paragraph Font"/>
    <w:uiPriority w:val="1"/>
    <w:semiHidden/>
    <w:unhideWhenUsed/>
    <w:pPr>
      <w:pBdr/>
      <w:spacing/>
      <w:ind/>
    </w:pPr>
  </w:style>
  <w:style w:type="table" w:styleId="6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1" w:default="1">
    <w:name w:val="No List"/>
    <w:uiPriority w:val="99"/>
    <w:semiHidden/>
    <w:unhideWhenUsed/>
    <w:pPr>
      <w:pBdr/>
      <w:spacing/>
      <w:ind/>
    </w:pPr>
  </w:style>
  <w:style w:type="character" w:styleId="692" w:customStyle="1">
    <w:name w:val="Caption Char"/>
    <w:uiPriority w:val="99"/>
    <w:pPr>
      <w:pBdr/>
      <w:spacing/>
      <w:ind/>
    </w:pPr>
  </w:style>
  <w:style w:type="paragraph" w:styleId="693">
    <w:name w:val="toc 1"/>
    <w:basedOn w:val="679"/>
    <w:next w:val="679"/>
    <w:uiPriority w:val="39"/>
    <w:unhideWhenUsed/>
    <w:pPr>
      <w:pBdr/>
      <w:spacing w:after="57"/>
      <w:ind/>
    </w:pPr>
  </w:style>
  <w:style w:type="paragraph" w:styleId="694">
    <w:name w:val="toc 2"/>
    <w:basedOn w:val="679"/>
    <w:next w:val="679"/>
    <w:uiPriority w:val="39"/>
    <w:unhideWhenUsed/>
    <w:pPr>
      <w:pBdr/>
      <w:spacing w:after="57"/>
      <w:ind w:left="283"/>
    </w:pPr>
  </w:style>
  <w:style w:type="paragraph" w:styleId="695">
    <w:name w:val="toc 3"/>
    <w:basedOn w:val="679"/>
    <w:next w:val="679"/>
    <w:uiPriority w:val="39"/>
    <w:unhideWhenUsed/>
    <w:pPr>
      <w:pBdr/>
      <w:spacing w:after="57"/>
      <w:ind w:left="567"/>
    </w:pPr>
  </w:style>
  <w:style w:type="paragraph" w:styleId="696">
    <w:name w:val="toc 4"/>
    <w:basedOn w:val="679"/>
    <w:next w:val="679"/>
    <w:uiPriority w:val="39"/>
    <w:unhideWhenUsed/>
    <w:pPr>
      <w:pBdr/>
      <w:spacing w:after="57"/>
      <w:ind w:left="850"/>
    </w:pPr>
  </w:style>
  <w:style w:type="paragraph" w:styleId="697">
    <w:name w:val="toc 5"/>
    <w:basedOn w:val="679"/>
    <w:next w:val="679"/>
    <w:uiPriority w:val="39"/>
    <w:unhideWhenUsed/>
    <w:pPr>
      <w:pBdr/>
      <w:spacing w:after="57"/>
      <w:ind w:left="1134"/>
    </w:pPr>
  </w:style>
  <w:style w:type="paragraph" w:styleId="698">
    <w:name w:val="toc 6"/>
    <w:basedOn w:val="679"/>
    <w:next w:val="679"/>
    <w:uiPriority w:val="39"/>
    <w:unhideWhenUsed/>
    <w:pPr>
      <w:pBdr/>
      <w:spacing w:after="57"/>
      <w:ind w:left="1417"/>
    </w:pPr>
  </w:style>
  <w:style w:type="paragraph" w:styleId="699">
    <w:name w:val="toc 7"/>
    <w:basedOn w:val="679"/>
    <w:next w:val="679"/>
    <w:uiPriority w:val="39"/>
    <w:unhideWhenUsed/>
    <w:pPr>
      <w:pBdr/>
      <w:spacing w:after="57"/>
      <w:ind w:left="1701"/>
    </w:pPr>
  </w:style>
  <w:style w:type="paragraph" w:styleId="700">
    <w:name w:val="toc 8"/>
    <w:basedOn w:val="679"/>
    <w:next w:val="679"/>
    <w:uiPriority w:val="39"/>
    <w:unhideWhenUsed/>
    <w:pPr>
      <w:pBdr/>
      <w:spacing w:after="57"/>
      <w:ind w:left="1984"/>
    </w:pPr>
  </w:style>
  <w:style w:type="paragraph" w:styleId="701">
    <w:name w:val="toc 9"/>
    <w:basedOn w:val="679"/>
    <w:next w:val="679"/>
    <w:uiPriority w:val="39"/>
    <w:unhideWhenUsed/>
    <w:pPr>
      <w:pBdr/>
      <w:spacing w:after="57"/>
      <w:ind w:left="2268"/>
    </w:pPr>
  </w:style>
  <w:style w:type="table" w:styleId="702" w:customStyle="1">
    <w:name w:val="Table Grid Light"/>
    <w:basedOn w:val="6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69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69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basedOn w:val="69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 w:customStyle="1">
    <w:name w:val="Заголовок 1 Знак"/>
    <w:basedOn w:val="689"/>
    <w:link w:val="68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28" w:customStyle="1">
    <w:name w:val="Заголовок 2 Знак"/>
    <w:basedOn w:val="689"/>
    <w:link w:val="68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29" w:customStyle="1">
    <w:name w:val="Заголовок 3 Знак"/>
    <w:basedOn w:val="689"/>
    <w:link w:val="68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30" w:customStyle="1">
    <w:name w:val="Заголовок 4 Знак"/>
    <w:basedOn w:val="689"/>
    <w:link w:val="68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31" w:customStyle="1">
    <w:name w:val="Заголовок 5 Знак"/>
    <w:basedOn w:val="689"/>
    <w:link w:val="68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32" w:customStyle="1">
    <w:name w:val="Заголовок 6 Знак"/>
    <w:basedOn w:val="689"/>
    <w:link w:val="6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Заголовок 7 Знак"/>
    <w:basedOn w:val="689"/>
    <w:link w:val="6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Заголовок 8 Знак"/>
    <w:basedOn w:val="689"/>
    <w:link w:val="6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Заголовок 9 Знак"/>
    <w:basedOn w:val="689"/>
    <w:link w:val="6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Title"/>
    <w:basedOn w:val="679"/>
    <w:next w:val="679"/>
    <w:link w:val="8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Назва Знак"/>
    <w:basedOn w:val="689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8">
    <w:name w:val="Subtitle"/>
    <w:basedOn w:val="679"/>
    <w:next w:val="679"/>
    <w:link w:val="8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 w:customStyle="1">
    <w:name w:val="Підзаголовок Знак"/>
    <w:basedOn w:val="689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0">
    <w:name w:val="Quote"/>
    <w:basedOn w:val="679"/>
    <w:next w:val="679"/>
    <w:link w:val="8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1" w:customStyle="1">
    <w:name w:val="Цитата Знак"/>
    <w:basedOn w:val="689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68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43">
    <w:name w:val="Intense Quote"/>
    <w:basedOn w:val="679"/>
    <w:next w:val="679"/>
    <w:link w:val="8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44" w:customStyle="1">
    <w:name w:val="Насичена цитата Знак"/>
    <w:basedOn w:val="689"/>
    <w:link w:val="8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45">
    <w:name w:val="Intense Reference"/>
    <w:basedOn w:val="68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46">
    <w:name w:val="Subtle Emphasis"/>
    <w:basedOn w:val="6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7">
    <w:name w:val="Emphasis"/>
    <w:basedOn w:val="689"/>
    <w:uiPriority w:val="20"/>
    <w:qFormat/>
    <w:pPr>
      <w:pBdr/>
      <w:spacing/>
      <w:ind/>
    </w:pPr>
    <w:rPr>
      <w:i/>
      <w:iCs/>
    </w:rPr>
  </w:style>
  <w:style w:type="character" w:styleId="848">
    <w:name w:val="Subtle Reference"/>
    <w:basedOn w:val="6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9">
    <w:name w:val="Book Title"/>
    <w:basedOn w:val="6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0">
    <w:name w:val="Header"/>
    <w:basedOn w:val="679"/>
    <w:link w:val="85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1" w:customStyle="1">
    <w:name w:val="Верхній колонтитул Знак"/>
    <w:basedOn w:val="689"/>
    <w:link w:val="850"/>
    <w:uiPriority w:val="99"/>
    <w:pPr>
      <w:pBdr/>
      <w:spacing/>
      <w:ind/>
    </w:pPr>
  </w:style>
  <w:style w:type="paragraph" w:styleId="852">
    <w:name w:val="Footer"/>
    <w:basedOn w:val="679"/>
    <w:link w:val="8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3" w:customStyle="1">
    <w:name w:val="Нижній колонтитул Знак"/>
    <w:basedOn w:val="689"/>
    <w:link w:val="852"/>
    <w:uiPriority w:val="99"/>
    <w:pPr>
      <w:pBdr/>
      <w:spacing/>
      <w:ind/>
    </w:pPr>
  </w:style>
  <w:style w:type="paragraph" w:styleId="854">
    <w:name w:val="Caption"/>
    <w:basedOn w:val="679"/>
    <w:next w:val="679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55">
    <w:name w:val="footnote text"/>
    <w:basedOn w:val="679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 w:customStyle="1">
    <w:name w:val="Текст виноски Знак"/>
    <w:basedOn w:val="689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foot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79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 w:customStyle="1">
    <w:name w:val="Текст кінцевої виноски Знак"/>
    <w:basedOn w:val="689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end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679"/>
    <w:next w:val="679"/>
    <w:uiPriority w:val="99"/>
    <w:unhideWhenUsed/>
    <w:pPr>
      <w:pBdr/>
      <w:spacing w:after="0"/>
      <w:ind/>
    </w:pPr>
  </w:style>
  <w:style w:type="numbering" w:styleId="863" w:customStyle="1">
    <w:name w:val="Нет списка1"/>
    <w:next w:val="691"/>
    <w:uiPriority w:val="99"/>
    <w:semiHidden/>
    <w:unhideWhenUsed/>
    <w:pPr>
      <w:pBdr/>
      <w:spacing/>
      <w:ind/>
    </w:pPr>
  </w:style>
  <w:style w:type="paragraph" w:styleId="864" w:customStyle="1">
    <w:name w:val="msonormal"/>
    <w:basedOn w:val="67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5">
    <w:name w:val="Normal (Web)"/>
    <w:basedOn w:val="679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Strong"/>
    <w:basedOn w:val="689"/>
    <w:uiPriority w:val="22"/>
    <w:qFormat/>
    <w:pPr>
      <w:pBdr/>
      <w:spacing/>
      <w:ind/>
    </w:pPr>
    <w:rPr>
      <w:b/>
      <w:bCs/>
    </w:rPr>
  </w:style>
  <w:style w:type="paragraph" w:styleId="867">
    <w:name w:val="Body Text"/>
    <w:basedOn w:val="679"/>
    <w:link w:val="868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8" w:customStyle="1">
    <w:name w:val="Основний текст Знак"/>
    <w:basedOn w:val="689"/>
    <w:link w:val="867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 w:customStyle="1">
    <w:name w:val="rvps2"/>
    <w:basedOn w:val="67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0">
    <w:name w:val="Hyperlink"/>
    <w:basedOn w:val="689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71">
    <w:name w:val="FollowedHyperlink"/>
    <w:basedOn w:val="689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72">
    <w:name w:val="No Spacing"/>
    <w:uiPriority w:val="1"/>
    <w:qFormat/>
    <w:pPr>
      <w:pBdr/>
      <w:spacing w:after="0" w:line="240" w:lineRule="auto"/>
      <w:ind/>
    </w:pPr>
  </w:style>
  <w:style w:type="paragraph" w:styleId="873">
    <w:name w:val="Balloon Text"/>
    <w:basedOn w:val="679"/>
    <w:link w:val="87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74" w:customStyle="1">
    <w:name w:val="Текст у виносці Знак"/>
    <w:basedOn w:val="689"/>
    <w:link w:val="87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75">
    <w:name w:val="List Paragraph"/>
    <w:basedOn w:val="679"/>
    <w:uiPriority w:val="34"/>
    <w:qFormat/>
    <w:pPr>
      <w:pBdr/>
      <w:spacing/>
      <w:ind w:left="720"/>
      <w:contextualSpacing w:val="true"/>
    </w:pPr>
  </w:style>
  <w:style w:type="paragraph" w:styleId="876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table" w:styleId="877">
    <w:name w:val="Table Grid"/>
    <w:basedOn w:val="69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 w:customStyle="1">
    <w:name w:val="Основной текст (2)_"/>
    <w:link w:val="879"/>
    <w:pPr>
      <w:pBdr/>
      <w:spacing/>
      <w:ind/>
    </w:pPr>
    <w:rPr>
      <w:sz w:val="28"/>
      <w:szCs w:val="28"/>
      <w:shd w:val="clear" w:color="auto" w:fill="ffffff"/>
    </w:rPr>
  </w:style>
  <w:style w:type="paragraph" w:styleId="879" w:customStyle="1">
    <w:name w:val="Основной текст (2)"/>
    <w:basedOn w:val="679"/>
    <w:link w:val="878"/>
    <w:pPr>
      <w:widowControl w:val="false"/>
      <w:pBdr/>
      <w:shd w:val="clear" w:color="auto" w:fill="ffffff"/>
      <w:spacing w:after="360" w:before="360" w:line="240" w:lineRule="atLeast"/>
      <w:ind/>
    </w:pPr>
    <w:rPr>
      <w:sz w:val="28"/>
      <w:szCs w:val="28"/>
    </w:rPr>
  </w:style>
  <w:style w:type="character" w:styleId="880" w:customStyle="1">
    <w:name w:val="Bold"/>
    <w:uiPriority w:val="99"/>
    <w:pPr>
      <w:pBdr/>
      <w:spacing/>
      <w:ind/>
    </w:pPr>
    <w:rPr>
      <w:b/>
      <w:bCs/>
    </w:rPr>
  </w:style>
  <w:style w:type="character" w:styleId="881" w:customStyle="1">
    <w:name w:val="Italic"/>
    <w:uiPriority w:val="99"/>
    <w:pPr>
      <w:pBdr/>
      <w:spacing/>
      <w:ind/>
    </w:pPr>
    <w:rPr>
      <w:i/>
      <w:iCs/>
    </w:rPr>
  </w:style>
  <w:style w:type="paragraph" w:styleId="882" w:customStyle="1">
    <w:name w:val="[Немає стилю абзацу]"/>
    <w:pPr>
      <w:pBdr/>
      <w:spacing w:after="0" w:line="288" w:lineRule="auto"/>
      <w:ind/>
    </w:pPr>
    <w:rPr>
      <w:rFonts w:ascii="Times" w:hAnsi="Times" w:cs="Times"/>
      <w:color w:val="000000"/>
      <w:sz w:val="24"/>
      <w:szCs w:val="24"/>
      <w:lang w:val="en-US"/>
    </w:rPr>
  </w:style>
  <w:style w:type="paragraph" w:styleId="883" w:customStyle="1">
    <w:name w:val="Додаток_основной_текст (Додаток)"/>
    <w:basedOn w:val="679"/>
    <w:uiPriority w:val="99"/>
    <w:pPr>
      <w:pBdr/>
      <w:spacing w:after="0" w:line="210" w:lineRule="atLeast"/>
      <w:ind w:firstLine="283"/>
      <w:jc w:val="both"/>
    </w:pPr>
    <w:rPr>
      <w:rFonts w:ascii="BalticaC" w:hAnsi="BalticaC" w:cs="BalticaC"/>
      <w:color w:val="000000"/>
      <w:sz w:val="19"/>
      <w:szCs w:val="19"/>
      <w:lang w:val="uk-UA"/>
    </w:rPr>
  </w:style>
  <w:style w:type="paragraph" w:styleId="884" w:customStyle="1">
    <w:name w:val="Додаток_заголовок 1 (Додаток)"/>
    <w:basedOn w:val="883"/>
    <w:uiPriority w:val="99"/>
    <w:pPr>
      <w:pBdr/>
      <w:spacing w:line="240" w:lineRule="atLeast"/>
      <w:ind/>
      <w:jc w:val="right"/>
    </w:pPr>
    <w:rPr>
      <w:i/>
      <w:iCs/>
      <w:sz w:val="18"/>
      <w:szCs w:val="18"/>
    </w:rPr>
  </w:style>
  <w:style w:type="paragraph" w:styleId="885" w:customStyle="1">
    <w:name w:val="Додаток_заголовок 2 (Додаток)"/>
    <w:basedOn w:val="679"/>
    <w:uiPriority w:val="99"/>
    <w:pPr>
      <w:pBdr/>
      <w:spacing w:after="0" w:line="220" w:lineRule="atLeast"/>
      <w:ind w:firstLine="283"/>
      <w:jc w:val="right"/>
    </w:pPr>
    <w:rPr>
      <w:rFonts w:ascii="SchoolBookAC" w:hAnsi="SchoolBookAC" w:cs="SchoolBookAC"/>
      <w:b/>
      <w:bCs/>
      <w:i/>
      <w:iCs/>
      <w:color w:val="000000"/>
      <w:sz w:val="18"/>
      <w:szCs w:val="18"/>
      <w:lang w:val="uk-UA"/>
    </w:rPr>
  </w:style>
  <w:style w:type="paragraph" w:styleId="886" w:customStyle="1">
    <w:name w:val="Додаток_заголовок 3 (Додаток)"/>
    <w:basedOn w:val="883"/>
    <w:uiPriority w:val="99"/>
    <w:pPr>
      <w:pBdr/>
      <w:spacing w:line="240" w:lineRule="atLeast"/>
      <w:ind w:firstLine="0"/>
      <w:jc w:val="center"/>
    </w:pPr>
    <w:rPr>
      <w:b/>
      <w:bCs/>
      <w:sz w:val="22"/>
      <w:szCs w:val="22"/>
    </w:rPr>
  </w:style>
  <w:style w:type="paragraph" w:styleId="887" w:customStyle="1">
    <w:name w:val="Додаток_таблица_основной текст (Додаток)"/>
    <w:basedOn w:val="679"/>
    <w:uiPriority w:val="99"/>
    <w:pPr>
      <w:pBdr/>
      <w:spacing w:after="0" w:line="200" w:lineRule="atLeast"/>
      <w:ind/>
    </w:pPr>
    <w:rPr>
      <w:rFonts w:ascii="BalticaC" w:hAnsi="BalticaC" w:cs="BalticaC"/>
      <w:color w:val="000000"/>
      <w:sz w:val="18"/>
      <w:szCs w:val="18"/>
      <w:lang w:val="uk-UA"/>
    </w:rPr>
  </w:style>
  <w:style w:type="paragraph" w:styleId="888" w:customStyle="1">
    <w:name w:val="Додаток_таблица_шапка (Додаток)"/>
    <w:basedOn w:val="679"/>
    <w:uiPriority w:val="99"/>
    <w:pPr>
      <w:pBdr/>
      <w:spacing w:after="0" w:line="180" w:lineRule="atLeast"/>
      <w:ind/>
      <w:jc w:val="center"/>
    </w:pPr>
    <w:rPr>
      <w:rFonts w:ascii="BalticaC" w:hAnsi="BalticaC" w:cs="BalticaC"/>
      <w:b/>
      <w:bCs/>
      <w:color w:val="000000"/>
      <w:sz w:val="16"/>
      <w:szCs w:val="16"/>
      <w:lang w:val="uk-UA"/>
    </w:rPr>
  </w:style>
  <w:style w:type="paragraph" w:styleId="889" w:customStyle="1">
    <w:name w:val="Додаток_таблиця_список (Додаток)"/>
    <w:basedOn w:val="882"/>
    <w:uiPriority w:val="99"/>
    <w:pPr>
      <w:pBdr/>
      <w:tabs>
        <w:tab w:val="left" w:leader="dot" w:pos="0"/>
      </w:tabs>
      <w:spacing w:line="200" w:lineRule="atLeast"/>
      <w:ind w:hanging="283" w:left="397"/>
      <w:jc w:val="both"/>
    </w:pPr>
    <w:rPr>
      <w:rFonts w:ascii="BalticaC" w:hAnsi="BalticaC" w:cs="BalticaC"/>
      <w:sz w:val="18"/>
      <w:szCs w:val="18"/>
      <w:lang w:val="uk-UA"/>
    </w:rPr>
  </w:style>
  <w:style w:type="character" w:styleId="890" w:customStyle="1">
    <w:name w:val="верхній_індекс"/>
    <w:uiPriority w:val="99"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omments" Target="comments.xml" /><Relationship Id="rId10" Type="http://schemas.microsoft.com/office/2011/relationships/commentsExtended" Target="commentsExtended.xml" /><Relationship Id="rId11" Type="http://schemas.microsoft.com/office/2018/08/relationships/commentsExtensible" Target="commentsExtensible.xml" /><Relationship Id="rId12" Type="http://schemas.microsoft.com/office/2016/09/relationships/commentsIds" Target="commentsIds.xml" /><Relationship Id="rId13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19</cp:revision>
  <dcterms:created xsi:type="dcterms:W3CDTF">2025-03-26T15:00:00Z</dcterms:created>
  <dcterms:modified xsi:type="dcterms:W3CDTF">2025-04-22T17:04:31Z</dcterms:modified>
</cp:coreProperties>
</file>