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9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79"/>
        <w:pBdr/>
        <w:spacing/>
        <w:ind/>
        <w:jc w:val="center"/>
        <w:rPr>
          <w:rFonts w:ascii="Times New Roman" w:hAnsi="Times New Roman" w:cs="Mangal"/>
          <w:b/>
          <w:bCs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bCs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bCs/>
          <w:color w:val="000000" w:themeColor="text1"/>
          <w:sz w:val="28"/>
          <w:szCs w:val="28"/>
          <w:lang w:eastAsia="hi-IN" w:bidi="hi-IN"/>
        </w:rPr>
      </w:r>
    </w:p>
    <w:p>
      <w:pPr>
        <w:pStyle w:val="879"/>
        <w:pBdr/>
        <w:spacing/>
        <w:ind/>
        <w:jc w:val="center"/>
        <w:rPr>
          <w:rFonts w:ascii="Times New Roman" w:hAnsi="Times New Roman" w:cs="Mangal"/>
          <w:color w:val="000000"/>
          <w:sz w:val="16"/>
          <w:szCs w:val="16"/>
        </w:rPr>
      </w:pP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</w:p>
    <w:p>
      <w:pPr>
        <w:widowControl w:val="false"/>
        <w:pBdr/>
        <w:spacing/>
        <w:ind w:firstLine="0"/>
        <w:jc w:val="center"/>
        <w:rPr>
          <w:rFonts w:cs="Mangal"/>
          <w:color w:val="000000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color w:val="000000"/>
        </w:rPr>
      </w:r>
      <w:r>
        <w:rPr>
          <w:rFonts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</w:rPr>
      </w:pPr>
      <w:r>
        <w:rPr>
          <w:rFonts w:cs="Mangal"/>
          <w:color w:val="000000"/>
        </w:rPr>
      </w:r>
      <w:r>
        <w:rPr>
          <w:rFonts w:cs="Mangal"/>
          <w:color w:val="000000"/>
        </w:rPr>
      </w:r>
      <w:r>
        <w:rPr>
          <w:rFonts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firstLine="0"/>
        <w:rPr>
          <w:rFonts w:cs="Mangal"/>
          <w:color w:val="000000"/>
        </w:rPr>
      </w:pPr>
      <w:r>
        <w:rPr>
          <w:rFonts w:cs="Mangal"/>
          <w:color w:val="000000" w:themeColor="text1"/>
          <w:szCs w:val="28"/>
          <w:lang w:eastAsia="hi-IN" w:bidi="hi-IN"/>
        </w:rPr>
        <w:t xml:space="preserve">02 </w:t>
      </w:r>
      <w:r>
        <w:rPr>
          <w:rFonts w:cs="Mangal"/>
          <w:color w:val="000000" w:themeColor="text1"/>
          <w:szCs w:val="28"/>
          <w:lang w:eastAsia="hi-IN" w:bidi="hi-IN"/>
        </w:rPr>
        <w:t xml:space="preserve">квітня</w:t>
      </w:r>
      <w:r>
        <w:rPr>
          <w:rFonts w:cs="Mangal"/>
          <w:color w:val="000000" w:themeColor="text1"/>
          <w:szCs w:val="28"/>
          <w:lang w:eastAsia="hi-IN" w:bidi="hi-IN"/>
        </w:rPr>
        <w:t xml:space="preserve"> 2025 року                         м.</w:t>
      </w:r>
      <w:r>
        <w:rPr>
          <w:rFonts w:cs="Mangal"/>
          <w:color w:val="000000" w:themeColor="text1"/>
          <w:szCs w:val="28"/>
          <w:lang w:val="ru-RU" w:eastAsia="hi-IN" w:bidi="hi-IN"/>
        </w:rPr>
        <w:t xml:space="preserve"> </w:t>
      </w:r>
      <w:r>
        <w:rPr>
          <w:rFonts w:cs="Mangal"/>
          <w:color w:val="000000" w:themeColor="text1"/>
          <w:szCs w:val="28"/>
          <w:lang w:eastAsia="hi-IN" w:bidi="hi-IN"/>
        </w:rPr>
        <w:t xml:space="preserve">Мена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      № 78</w:t>
      </w:r>
      <w:r>
        <w:rPr>
          <w:rFonts w:cs="Mangal"/>
          <w:color w:val="000000"/>
        </w:rPr>
      </w:r>
      <w:r>
        <w:rPr>
          <w:rFonts w:cs="Mangal"/>
          <w:color w:val="000000"/>
        </w:rPr>
      </w:r>
    </w:p>
    <w:p>
      <w:pPr>
        <w:pBdr/>
        <w:spacing/>
        <w:ind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 w:right="4535" w:firstLine="0"/>
        <w:rPr/>
      </w:pPr>
      <w:r>
        <w:rPr>
          <w:b/>
          <w:color w:val="000000"/>
        </w:rPr>
        <w:t xml:space="preserve">Про створення </w:t>
      </w:r>
      <w:r>
        <w:rPr>
          <w:b/>
          <w:color w:val="000000"/>
        </w:rPr>
        <w:t xml:space="preserve">Комітету з </w:t>
      </w:r>
      <w:bookmarkStart w:id="0" w:name="_Hlk194051563"/>
      <w:r>
        <w:rPr>
          <w:b/>
          <w:color w:val="000000"/>
        </w:rPr>
        <w:t xml:space="preserve">моніторингу реалізації та оновлення</w:t>
      </w:r>
      <w:r>
        <w:rPr>
          <w:b/>
          <w:color w:val="000000"/>
        </w:rPr>
        <w:t xml:space="preserve"> Стратегії </w:t>
      </w:r>
      <w:bookmarkStart w:id="1" w:name="_Hlk194050656"/>
      <w:r>
        <w:rPr>
          <w:b/>
          <w:color w:val="000000"/>
        </w:rPr>
        <w:t xml:space="preserve">розвитку освіти Менської міської територіальної громади на 2024-2027 роки</w:t>
      </w:r>
      <w:bookmarkEnd w:id="0"/>
      <w:r/>
      <w:bookmarkEnd w:id="1"/>
      <w:r/>
      <w:r/>
    </w:p>
    <w:p>
      <w:pPr>
        <w:pBdr/>
        <w:spacing/>
        <w:ind w:right="5102"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 w:firstLine="709"/>
        <w:rPr>
          <w:color w:val="000000"/>
        </w:rPr>
      </w:pPr>
      <w:r>
        <w:rPr>
          <w:color w:val="000000"/>
        </w:rPr>
        <w:t xml:space="preserve">З метою </w:t>
      </w:r>
      <w:r>
        <w:rPr>
          <w:color w:val="000000"/>
        </w:rPr>
        <w:t xml:space="preserve">здійснення моніторингу впровадження Стратегії розвитку освіти Менської міської територіальної громади на 2024-2027 роки (далі – Стратегії), затвердженої рішенням п’ятдесят п’ятої сесії Менської міської ради восьмого скликання від 21.11.2024 року №585</w:t>
      </w:r>
      <w:r>
        <w:rPr>
          <w:color w:val="000000"/>
        </w:rPr>
        <w:t xml:space="preserve">, згідно пункту 20 статті 42, статті 50 </w:t>
      </w:r>
      <w:r>
        <w:rPr>
          <w:color w:val="000000"/>
        </w:rPr>
        <w:t xml:space="preserve"> </w:t>
      </w:r>
      <w:r>
        <w:rPr>
          <w:color w:val="000000"/>
        </w:rPr>
        <w:t xml:space="preserve">Закону України «Про місцеве самоврядування в Україні»: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rPr/>
      </w:pPr>
      <w:r/>
      <w:r/>
    </w:p>
    <w:p>
      <w:pPr>
        <w:pBdr/>
        <w:spacing/>
        <w:ind w:firstLine="709"/>
        <w:rPr/>
      </w:pPr>
      <w:r>
        <w:rPr>
          <w:color w:val="000000"/>
        </w:rPr>
        <w:t xml:space="preserve">1. </w:t>
      </w:r>
      <w:r>
        <w:rPr>
          <w:color w:val="000000"/>
        </w:rPr>
        <w:t xml:space="preserve">Створити Комітет з </w:t>
      </w:r>
      <w:r>
        <w:rPr>
          <w:color w:val="000000"/>
        </w:rPr>
        <w:t xml:space="preserve">моніторингу реалізації та оновлення</w:t>
      </w:r>
      <w:r>
        <w:rPr>
          <w:color w:val="000000"/>
        </w:rPr>
        <w:t xml:space="preserve"> Стратегії розвитку освіти Менської міської територіальної громади на 2024-2027 роки та затвердити його склад, згідно з додатком 1.</w:t>
      </w:r>
      <w:r/>
    </w:p>
    <w:p>
      <w:pPr>
        <w:pBdr/>
        <w:spacing/>
        <w:ind w:firstLine="709"/>
        <w:rPr>
          <w:color w:val="000000"/>
        </w:rPr>
      </w:pPr>
      <w:r>
        <w:rPr>
          <w:color w:val="000000"/>
          <w:highlight w:val="white"/>
        </w:rPr>
        <w:t xml:space="preserve">2. </w:t>
      </w:r>
      <w:r>
        <w:rPr>
          <w:color w:val="000000"/>
        </w:rPr>
        <w:t xml:space="preserve">Затвердити Положення про </w:t>
      </w:r>
      <w:r>
        <w:rPr>
          <w:color w:val="000000"/>
        </w:rPr>
        <w:t xml:space="preserve">К</w:t>
      </w:r>
      <w:r>
        <w:rPr>
          <w:color w:val="000000"/>
        </w:rPr>
        <w:t xml:space="preserve">омітет з</w:t>
      </w:r>
      <w:r>
        <w:rPr>
          <w:color w:val="000000"/>
        </w:rPr>
        <w:t xml:space="preserve"> моніторингу реалізації та оновлення</w:t>
      </w:r>
      <w:r>
        <w:rPr>
          <w:color w:val="000000"/>
        </w:rPr>
        <w:t xml:space="preserve"> </w:t>
      </w:r>
      <w:r>
        <w:rPr>
          <w:color w:val="000000"/>
        </w:rPr>
        <w:t xml:space="preserve">Стратегії розвитку освіти Менської міської територіальної громади на 2024-2027 роки</w:t>
      </w:r>
      <w:r>
        <w:rPr>
          <w:color w:val="000000"/>
        </w:rPr>
        <w:t xml:space="preserve"> та Положення </w:t>
      </w:r>
      <w:r>
        <w:rPr>
          <w:color w:val="000000"/>
        </w:rPr>
        <w:t xml:space="preserve">моніторинг впровадження Стратегії розвитку освіти</w:t>
      </w:r>
      <w:r>
        <w:rPr>
          <w:color w:val="000000"/>
        </w:rPr>
        <w:t xml:space="preserve"> Менської міської територіальної громади на 2024-2027 роки</w:t>
      </w:r>
      <w:r>
        <w:rPr>
          <w:color w:val="000000"/>
        </w:rPr>
        <w:t xml:space="preserve">, згідно з додатком 2.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rPr/>
      </w:pPr>
      <w:r>
        <w:t xml:space="preserve">3. </w:t>
      </w:r>
      <w:r>
        <w:t xml:space="preserve">Визначити уповноваженим з питань Стратегії (відповідальним координатором)</w:t>
      </w:r>
      <w:r>
        <w:t xml:space="preserve"> Ірину ЛУК’ЯНЕНКО, начальника Відділу освіти Менської міської ради</w:t>
      </w:r>
      <w:r>
        <w:t xml:space="preserve">.</w:t>
      </w:r>
      <w:r/>
    </w:p>
    <w:p>
      <w:pPr>
        <w:pBdr/>
        <w:spacing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 Комітету з моніторингу реалізації та оновлення Стратегії розвитку освіти Менської міської територіальної громади на 2024-2027 роки</w:t>
      </w:r>
      <w:r>
        <w:rPr>
          <w:color w:val="000000" w:themeColor="text1"/>
        </w:rPr>
        <w:t xml:space="preserve"> забезпе</w:t>
      </w:r>
      <w:r>
        <w:rPr>
          <w:color w:val="000000" w:themeColor="text1"/>
        </w:rPr>
        <w:t xml:space="preserve">чити проведення моніторингу та оцінки реалізації Стратегії</w:t>
      </w:r>
      <w:r>
        <w:rPr>
          <w:color w:val="000000" w:themeColor="text1"/>
        </w:rPr>
        <w:t xml:space="preserve"> шляхом підготовки щорічних аналітичних звітів щодо стану виконання.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709"/>
        <w:rPr>
          <w:color w:val="000000"/>
        </w:rPr>
      </w:pPr>
      <w:r>
        <w:rPr>
          <w:color w:val="000000"/>
        </w:rPr>
        <w:t xml:space="preserve">5</w:t>
      </w:r>
      <w:r>
        <w:rPr>
          <w:color w:val="000000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rPr/>
      </w:pPr>
      <w:r/>
      <w:r/>
    </w:p>
    <w:p>
      <w:pPr>
        <w:pBdr/>
        <w:spacing/>
        <w:ind w:firstLine="709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>
          <w:color w:val="000000"/>
        </w:rPr>
      </w:pPr>
      <w:r>
        <w:rPr>
          <w:color w:val="000000"/>
        </w:rPr>
        <w:t xml:space="preserve">Секретар ради                                                                 </w:t>
      </w:r>
      <w:r>
        <w:rPr>
          <w:color w:val="000000"/>
        </w:rPr>
        <w:tab/>
        <w:t xml:space="preserve">Юрій СТАЛЬНИЧЕНКО</w:t>
      </w:r>
      <w:r>
        <w:rPr>
          <w:color w:val="000000"/>
        </w:rPr>
      </w:r>
      <w:r>
        <w:rPr>
          <w:color w:val="000000"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 w:left="5245"/>
        <w:rPr/>
      </w:pPr>
      <w:r>
        <w:t xml:space="preserve">Додаток 1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 w:left="5245"/>
        <w:rPr/>
      </w:pPr>
      <w:r>
        <w:t xml:space="preserve">до розпорядження 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 w:left="5245"/>
        <w:rPr/>
      </w:pPr>
      <w:r>
        <w:t xml:space="preserve">міського голови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 w:left="5245"/>
        <w:rPr/>
      </w:pPr>
      <w:r>
        <w:t xml:space="preserve">02</w:t>
      </w:r>
      <w:r>
        <w:t xml:space="preserve"> </w:t>
      </w:r>
      <w:r>
        <w:t xml:space="preserve">квітня</w:t>
      </w:r>
      <w:r>
        <w:t xml:space="preserve"> 2025 року № </w:t>
      </w:r>
      <w:r>
        <w:t xml:space="preserve">78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jc w:val="center"/>
        <w:rPr/>
      </w:pPr>
      <w:r>
        <w:t xml:space="preserve">СКЛАД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jc w:val="center"/>
        <w:rPr/>
      </w:pPr>
      <w:r>
        <w:t xml:space="preserve">Комітету з </w:t>
      </w:r>
      <w:r>
        <w:t xml:space="preserve">моніторингу реалізації та оновлення Стратегії розвитку освіти Менської міської територіальної громади на 2024-2027 роки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tbl>
      <w:tblPr>
        <w:tblStyle w:val="892"/>
        <w:tblW w:w="0" w:type="auto"/>
        <w:tblBorders/>
        <w:tblLook w:val="04A0" w:firstRow="1" w:lastRow="0" w:firstColumn="1" w:lastColumn="0" w:noHBand="0" w:noVBand="1"/>
      </w:tblPr>
      <w:tblGrid>
        <w:gridCol w:w="3466"/>
        <w:gridCol w:w="498"/>
        <w:gridCol w:w="5664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Голова Комітету: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ПРИЩЕПА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Вікторія Василівна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>
                <w:lang w:val="ru-RU"/>
              </w:rPr>
            </w:pPr>
            <w:r>
              <w:t xml:space="preserve">заступник міського голови з питань діяльності виконавчих органів влади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/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Заступник голови Комітету: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ЛУК’ЯНЕНКО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Ірина Федорівна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>
                <w:lang w:val="ru-RU"/>
              </w:rPr>
            </w:pPr>
            <w:r>
              <w:t xml:space="preserve">начальник Відділу освіти Менської міської ради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/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Секретар: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ФЕДОРЧЕНКО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Сніжана Володимирівна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>
                <w:lang w:val="ru-RU"/>
              </w:rPr>
            </w:pPr>
            <w:r>
              <w:t xml:space="preserve">г</w:t>
            </w:r>
            <w:r>
              <w:t xml:space="preserve">оловний спеціаліст Відділу освіти Менської міської ради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/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Члени Комітету: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БИКОВА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Олена Віталіївна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Директор Комунальної установи «Центр професійного розвитку педагогічних працівників» Менської міської ради, </w:t>
            </w:r>
            <w:r>
              <w:t xml:space="preserve">г</w:t>
            </w:r>
            <w:r>
              <w:t xml:space="preserve">олова Піклувальної ради</w:t>
            </w:r>
            <w:r>
              <w:t xml:space="preserve"> закладів освіти Менської міської територіальної громади;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ВЕРІК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Юлія Петрівна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д</w:t>
            </w:r>
            <w:r>
              <w:t xml:space="preserve">иректор Менського закладу дошкільної освіти (ясла-садок) «Дитяча академія» комбінованого типу Менської міської ради</w:t>
            </w:r>
            <w:r>
              <w:t xml:space="preserve">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ГРЕЧУХА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Людмила Анатоліївна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>
                <w:lang w:val="ru-RU"/>
              </w:rPr>
            </w:pPr>
            <w:r>
              <w:t xml:space="preserve">головний спеціаліст Відділу освіти Менської міської ради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ЛЮШИНА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Вікторія Леонідівна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>
                <w:lang w:val="ru-RU"/>
              </w:rPr>
            </w:pPr>
            <w:r>
              <w:t xml:space="preserve">заступник начальника Відділу освіти Менської міської ради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МОСКАЛЬЧУК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Марина Віталіївна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начальник </w:t>
            </w:r>
            <w:r>
              <w:rPr>
                <w:lang w:val="ru-RU"/>
              </w:rPr>
              <w:t xml:space="preserve">Відділу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соціального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захисту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населення</w:t>
            </w:r>
            <w:r>
              <w:rPr>
                <w:lang w:val="ru-RU"/>
              </w:rPr>
              <w:t xml:space="preserve"> та </w:t>
            </w:r>
            <w:r>
              <w:rPr>
                <w:lang w:val="ru-RU"/>
              </w:rPr>
              <w:t xml:space="preserve">охорони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здоров'я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Менської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міської</w:t>
            </w:r>
            <w:r>
              <w:rPr>
                <w:lang w:val="ru-RU"/>
              </w:rPr>
              <w:t xml:space="preserve"> ради, </w:t>
            </w:r>
            <w:r>
              <w:t xml:space="preserve">депутат Менської міської ради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НЕРОСЛИК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Алла Петрівна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>
                <w:lang w:val="ru-RU"/>
              </w:rPr>
            </w:pPr>
            <w:r>
              <w:t xml:space="preserve">начальник Фінансового управління Менської міської ради</w:t>
            </w:r>
            <w:r>
              <w:rPr>
                <w:lang w:val="ru-RU"/>
              </w:rPr>
              <w:t xml:space="preserve">, депутат Менської </w:t>
            </w:r>
            <w:r>
              <w:rPr>
                <w:lang w:val="ru-RU"/>
              </w:rPr>
              <w:t xml:space="preserve">міської</w:t>
            </w:r>
            <w:r>
              <w:rPr>
                <w:lang w:val="ru-RU"/>
              </w:rPr>
              <w:t xml:space="preserve"> ради;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СКОРОХОД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Сергій Віталійович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>
                <w:lang w:val="ru-RU"/>
              </w:rPr>
            </w:pPr>
            <w:r>
              <w:t xml:space="preserve">начальник Відділу міжнародного співробітництва та економічного розвитку</w:t>
            </w:r>
            <w:r>
              <w:rPr>
                <w:lang w:val="ru-RU"/>
              </w:rPr>
              <w:t xml:space="preserve">, член ГО «ДІМ»;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ФЕДОРЧЕНКО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Олександр Олексійович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>
                <w:lang w:val="ru-RU"/>
              </w:rPr>
            </w:pPr>
            <w:r>
              <w:t xml:space="preserve">Голова Менської молодіжної ради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ХОМЕНКО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Тетяна Олексіївна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>
                <w:lang w:val="ru-RU"/>
              </w:rPr>
            </w:pPr>
            <w:r>
              <w:t xml:space="preserve">директор Опорного закладу Менська гімназія Менської міської ради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ШЕПЕЛЬ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Тамара Іванівна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4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leader="none" w:pos="1134"/>
                <w:tab w:val="left" w:leader="none" w:pos="6520"/>
              </w:tabs>
              <w:spacing/>
              <w:ind w:firstLine="0"/>
              <w:rPr/>
            </w:pPr>
            <w:r>
              <w:t xml:space="preserve">директор Менського опорного закладу загальної середньої освіти І-ІІІ ступенів </w:t>
            </w:r>
            <w:r>
              <w:t xml:space="preserve">ім.Т.Г.Шевченка</w:t>
            </w:r>
            <w:r>
              <w:t xml:space="preserve"> Менської міської ради</w:t>
            </w:r>
            <w:r>
              <w:t xml:space="preserve">.</w:t>
            </w:r>
            <w:r/>
          </w:p>
        </w:tc>
      </w:tr>
    </w:tbl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clear" w:leader="none" w:pos="1134"/>
        </w:tabs>
        <w:spacing w:after="200" w:line="276" w:lineRule="auto"/>
        <w:ind w:firstLine="0"/>
        <w:jc w:val="left"/>
        <w:rPr/>
      </w:pPr>
      <w:r>
        <w:br w:type="page" w:clear="all"/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 w:left="5245"/>
        <w:rPr/>
      </w:pPr>
      <w:r>
        <w:t xml:space="preserve">Додаток 2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 w:left="5245"/>
        <w:rPr/>
      </w:pPr>
      <w:r>
        <w:t xml:space="preserve">до розпорядження 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 w:left="5245"/>
        <w:rPr/>
      </w:pPr>
      <w:r>
        <w:t xml:space="preserve">міського голови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5245"/>
        <w:rPr/>
      </w:pPr>
      <w:r>
        <w:t xml:space="preserve">02 </w:t>
      </w:r>
      <w:r>
        <w:t xml:space="preserve">квітня</w:t>
      </w:r>
      <w:bookmarkStart w:id="2" w:name="_GoBack"/>
      <w:r/>
      <w:bookmarkEnd w:id="2"/>
      <w:r>
        <w:t xml:space="preserve"> 2025 року № 78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5245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5245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5245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jc w:val="center"/>
        <w:rPr>
          <w:b/>
          <w:i/>
        </w:rPr>
      </w:pPr>
      <w:r>
        <w:rPr>
          <w:b/>
          <w:i/>
        </w:rPr>
        <w:t xml:space="preserve">Положення </w:t>
      </w:r>
      <w:r>
        <w:rPr>
          <w:b/>
          <w:i/>
        </w:rPr>
      </w:r>
      <w:r>
        <w:rPr>
          <w:b/>
          <w:i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0"/>
        <w:jc w:val="center"/>
        <w:rPr>
          <w:b/>
          <w:i/>
        </w:rPr>
      </w:pPr>
      <w:r>
        <w:rPr>
          <w:b/>
          <w:i/>
        </w:rPr>
        <w:t xml:space="preserve">про Комітет з моніторингу реалізації та оновлення Стратегії розвитку освіти Менської міської територіальної громади </w:t>
      </w:r>
      <w:r>
        <w:rPr>
          <w:b/>
          <w:i/>
        </w:rPr>
        <w:t xml:space="preserve">на 2024-2027</w:t>
      </w:r>
      <w:r>
        <w:rPr>
          <w:b/>
          <w:i/>
          <w:lang w:val="ru-RU"/>
        </w:rPr>
        <w:t xml:space="preserve"> </w:t>
      </w:r>
      <w:r>
        <w:rPr>
          <w:b/>
          <w:i/>
        </w:rPr>
        <w:t xml:space="preserve">роки</w:t>
      </w:r>
      <w:r>
        <w:rPr>
          <w:b/>
          <w:i/>
        </w:rPr>
      </w:r>
      <w:r>
        <w:rPr>
          <w:b/>
          <w:i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jc w:val="center"/>
        <w:rPr>
          <w:b/>
        </w:rPr>
      </w:pPr>
      <w:r>
        <w:rPr>
          <w:b/>
        </w:rPr>
        <w:t xml:space="preserve">1. Загальні положення</w:t>
      </w:r>
      <w:r>
        <w:rPr>
          <w:b/>
        </w:rPr>
      </w:r>
      <w:r>
        <w:rPr>
          <w:b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1.1. Комітет з моніторингу реалізації та оновлення Стратегії розвитку освіти Менської міської територіальної громади на 2024-2027 роки (далі </w:t>
      </w:r>
      <w:r>
        <w:t xml:space="preserve">- </w:t>
      </w:r>
      <w:r>
        <w:t xml:space="preserve">Комітет) є консультативно-дорадчим органом, метою якого є забезпечення </w:t>
      </w:r>
      <w:r>
        <w:t xml:space="preserve">проведення моніторингу реалізації та оновлення Стратегії розвитку освіти Менської міської територіальної громади на 2024-2027 роки, затвердженої рішенням п’ятдесят п’ятої сесії Менської міської ради восьмого скликання від 21.11.2024 № 585 (далі Стратегія).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1.2. Комітет є правонаступником робочої групи з розробки Стратегії</w:t>
      </w:r>
      <w:r>
        <w:t xml:space="preserve"> розвитку освіти у Менській міській територіальній громаді (створеної розпорядженням міського голови від 2.02.2024 № 60)</w:t>
      </w:r>
      <w:r>
        <w:t xml:space="preserve">, до складу якого </w:t>
      </w:r>
      <w:r>
        <w:t xml:space="preserve">включаються відповідальні працівники виконавчих органів міської ради, </w:t>
      </w:r>
      <w:r>
        <w:t xml:space="preserve">представники депутатського корпусу, активні предс</w:t>
      </w:r>
      <w:r>
        <w:t xml:space="preserve">тавники освіти і громадськості</w:t>
      </w:r>
      <w:r>
        <w:t xml:space="preserve">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1.3. Робота Комітету здійснюється на принципах законності, об’єктивності, гласності, колегіальності, ефективності проведеного моніторингу та оцінки реалізації Стратегії для досягнення бачення розвитку освіти громади.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jc w:val="center"/>
        <w:rPr>
          <w:b/>
        </w:rPr>
      </w:pPr>
      <w:r>
        <w:rPr>
          <w:b/>
        </w:rPr>
        <w:t xml:space="preserve">2. Мета діяльності</w:t>
      </w:r>
      <w:r>
        <w:rPr>
          <w:b/>
        </w:rPr>
      </w:r>
      <w:r>
        <w:rPr>
          <w:b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2.1. Метою діяльності Комітету є забезпечення реалізації та постійної підтримки актуальності Стратегії розвитку освіти територіальної громади та моніторинг якості виконання завдань, визначених Стратегією.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jc w:val="center"/>
        <w:rPr>
          <w:b/>
        </w:rPr>
      </w:pPr>
      <w:r>
        <w:rPr>
          <w:b/>
        </w:rPr>
        <w:t xml:space="preserve">3. Основні завдання Комітету</w:t>
      </w:r>
      <w:r>
        <w:rPr>
          <w:b/>
        </w:rPr>
        <w:t xml:space="preserve">:</w:t>
      </w:r>
      <w:r>
        <w:rPr>
          <w:b/>
        </w:rPr>
      </w:r>
      <w:r>
        <w:rPr>
          <w:b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3.1. Стимулювання реалізації і моніторинг виконання Стратегії в цілому та окремих </w:t>
      </w:r>
      <w:r>
        <w:t xml:space="preserve">її</w:t>
      </w:r>
      <w:r>
        <w:t xml:space="preserve"> цілей і завдань з відстеженням виконання кожного завдання відповідної о</w:t>
      </w:r>
      <w:r>
        <w:t xml:space="preserve">перативної та стратегічної цілі</w:t>
      </w:r>
      <w:r>
        <w:t xml:space="preserve">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3.2. Оцінка ступеня досягнення бачення, стратегічних та оперативних цілей Стратегічного плану, зокрема, якості виконання цілей і завдань та </w:t>
      </w:r>
      <w:r>
        <w:t xml:space="preserve">дотримання терміну їх виконання</w:t>
      </w:r>
      <w:r>
        <w:t xml:space="preserve">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3.3. Надання інформації і рекомендацій відповідальним виконавцям за виконання заходів Стратегії для прийняття рішень про розподіл ресурсів для досягнення цілей і </w:t>
      </w:r>
      <w:r>
        <w:t xml:space="preserve">завдань плану чи їх коригування</w:t>
      </w:r>
      <w:r>
        <w:t xml:space="preserve">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3.4. Висвітлення процесу реалізації Стратегії у засобах масової інформації та на офіційному веб-сайті </w:t>
      </w:r>
      <w:r>
        <w:t xml:space="preserve">Менської </w:t>
      </w:r>
      <w:r>
        <w:t xml:space="preserve">міської ради та </w:t>
      </w:r>
      <w:r>
        <w:t xml:space="preserve">В</w:t>
      </w:r>
      <w:r>
        <w:t xml:space="preserve">ідділу освіти</w:t>
      </w:r>
      <w:r>
        <w:t xml:space="preserve">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>
          <w:lang w:val="ru-RU"/>
        </w:rPr>
      </w:pPr>
      <w:r>
        <w:t xml:space="preserve">3.5. Збір та обговорення пропозицій з коригування та оновлення Стратегії за стратегічними та </w:t>
      </w:r>
      <w:r>
        <w:t xml:space="preserve">оперативними цілями, завданнями</w:t>
      </w:r>
      <w:r>
        <w:rPr>
          <w:lang w:val="ru-RU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3.6. Підготовка аналітичних звітів щодо стану виконання Стратегії.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jc w:val="center"/>
        <w:rPr>
          <w:b/>
          <w:lang w:val="ru-RU"/>
        </w:rPr>
      </w:pPr>
      <w:r>
        <w:rPr>
          <w:b/>
        </w:rPr>
        <w:t xml:space="preserve">4. Основні права та повноваження Комітету</w:t>
      </w:r>
      <w:r>
        <w:rPr>
          <w:b/>
          <w:lang w:val="ru-RU"/>
        </w:rPr>
        <w:t xml:space="preserve">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>
          <w:lang w:val="ru-RU"/>
        </w:rPr>
      </w:pPr>
      <w:r>
        <w:t xml:space="preserve">4.1. Одержання у встановленому законодавством порядку від суб'єктів всіх форм власності, державних органів та виконавчих органів міської ради інформацію, документи і матеріали, необхідні для викона</w:t>
      </w:r>
      <w:r>
        <w:t xml:space="preserve">ння покладених на нього завдань</w:t>
      </w:r>
      <w:r>
        <w:rPr>
          <w:lang w:val="ru-RU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4.2. Утворення, в разі потреби, </w:t>
      </w:r>
      <w:r>
        <w:t xml:space="preserve">тимчасов</w:t>
      </w:r>
      <w:r>
        <w:rPr>
          <w:lang w:val="ru-RU"/>
        </w:rPr>
        <w:t xml:space="preserve">их</w:t>
      </w:r>
      <w:r>
        <w:t xml:space="preserve"> </w:t>
      </w:r>
      <w:r>
        <w:t xml:space="preserve">експертн</w:t>
      </w:r>
      <w:r>
        <w:rPr>
          <w:lang w:val="ru-RU"/>
        </w:rPr>
        <w:t xml:space="preserve">их</w:t>
      </w:r>
      <w:r>
        <w:t xml:space="preserve"> та </w:t>
      </w:r>
      <w:r>
        <w:t xml:space="preserve">робоч</w:t>
      </w:r>
      <w:r>
        <w:rPr>
          <w:lang w:val="ru-RU"/>
        </w:rPr>
        <w:t xml:space="preserve">их</w:t>
      </w:r>
      <w:r>
        <w:t xml:space="preserve"> груп</w:t>
      </w:r>
      <w:r>
        <w:t xml:space="preserve">, </w:t>
      </w:r>
      <w:r>
        <w:t xml:space="preserve">залуч</w:t>
      </w:r>
      <w:r>
        <w:rPr>
          <w:lang w:val="ru-RU"/>
        </w:rPr>
        <w:t xml:space="preserve">ення</w:t>
      </w:r>
      <w:r>
        <w:t xml:space="preserve"> до участі в їх роботі представників виконавчих органів міської ради, наукових установ та громадських організацій.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4.3. </w:t>
      </w:r>
      <w:r>
        <w:t xml:space="preserve">Комітет має право в</w:t>
      </w:r>
      <w:r>
        <w:t xml:space="preserve">имагати від основних виконавців (зазначених у проектних листках) оперативних цілей і завдань формувати аналітичні звіти про моніторинг виконання операт</w:t>
      </w:r>
      <w:r>
        <w:t xml:space="preserve">ивних цілей і завдань Стратегії</w:t>
      </w:r>
      <w:r>
        <w:t xml:space="preserve">; і</w:t>
      </w:r>
      <w:r>
        <w:t xml:space="preserve">ніціювати внесення змін до Стратегії шляхом винесення пропозицій для розгляду на сесії міської ради (у відповідності до її регламенту).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jc w:val="center"/>
        <w:rPr>
          <w:b/>
        </w:rPr>
      </w:pPr>
      <w:r>
        <w:rPr>
          <w:b/>
        </w:rPr>
        <w:t xml:space="preserve">5. Організаційна структура і регламент роботи Комітету.</w:t>
      </w:r>
      <w:r>
        <w:rPr>
          <w:b/>
        </w:rPr>
      </w:r>
      <w:r>
        <w:rPr>
          <w:b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5.1. Керівництво роботою Комітету здійснює його голова. У разі відсутності голови керівн</w:t>
      </w:r>
      <w:r>
        <w:t xml:space="preserve">ицтво здійсню</w:t>
      </w:r>
      <w:r>
        <w:rPr>
          <w:lang w:val="ru-RU"/>
        </w:rPr>
        <w:t xml:space="preserve">є</w:t>
      </w:r>
      <w:r>
        <w:t xml:space="preserve"> його заступник</w:t>
      </w:r>
      <w:r>
        <w:t xml:space="preserve">. На голову Комітету покладається відповідальність за контроль над процесом реалізації і моніторингом виконання Стратегії.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5.2. Організаційне забезпечення роботи Комітету покладається на </w:t>
      </w:r>
      <w:r>
        <w:t xml:space="preserve">Відділ освіти Менської</w:t>
      </w:r>
      <w:r>
        <w:t xml:space="preserve"> міської ради. Оформлення протоколів засідань покладається на секретаря.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>
          <w:lang w:val="ru-RU"/>
        </w:rPr>
      </w:pPr>
      <w:r>
        <w:t xml:space="preserve">5.</w:t>
      </w:r>
      <w:r>
        <w:rPr>
          <w:lang w:val="ru-RU"/>
        </w:rPr>
        <w:t xml:space="preserve">3</w:t>
      </w:r>
      <w:r>
        <w:t xml:space="preserve">. Основною формою роботи Комітету є відкриті засідання, які проводяться не рідше, ніж двічі на рік.</w:t>
      </w:r>
      <w:r>
        <w:rPr>
          <w:lang w:val="ru-RU"/>
        </w:rPr>
        <w:t xml:space="preserve"> </w:t>
      </w:r>
      <w:r>
        <w:rPr>
          <w:lang w:val="ru-RU"/>
        </w:rPr>
        <w:t xml:space="preserve">Засідання</w:t>
      </w:r>
      <w:r>
        <w:rPr>
          <w:lang w:val="ru-RU"/>
        </w:rPr>
        <w:t xml:space="preserve"> </w:t>
      </w:r>
      <w:r>
        <w:rPr>
          <w:lang w:val="ru-RU"/>
        </w:rPr>
        <w:t xml:space="preserve">можуть</w:t>
      </w:r>
      <w:r>
        <w:rPr>
          <w:lang w:val="ru-RU"/>
        </w:rPr>
        <w:t xml:space="preserve"> </w:t>
      </w:r>
      <w:r>
        <w:rPr>
          <w:lang w:val="ru-RU"/>
        </w:rPr>
        <w:t xml:space="preserve">проводитись</w:t>
      </w:r>
      <w:r>
        <w:rPr>
          <w:lang w:val="ru-RU"/>
        </w:rPr>
        <w:t xml:space="preserve"> в очному, </w:t>
      </w:r>
      <w:r>
        <w:rPr>
          <w:lang w:val="ru-RU"/>
        </w:rPr>
        <w:t xml:space="preserve">дистанційному</w:t>
      </w:r>
      <w:r>
        <w:rPr>
          <w:lang w:val="ru-RU"/>
        </w:rPr>
        <w:t xml:space="preserve"> </w:t>
      </w:r>
      <w:r>
        <w:rPr>
          <w:lang w:val="ru-RU"/>
        </w:rPr>
        <w:t xml:space="preserve">або</w:t>
      </w:r>
      <w:r>
        <w:rPr>
          <w:lang w:val="ru-RU"/>
        </w:rPr>
        <w:t xml:space="preserve"> </w:t>
      </w:r>
      <w:r>
        <w:rPr>
          <w:lang w:val="ru-RU"/>
        </w:rPr>
        <w:t xml:space="preserve">змішаному</w:t>
      </w:r>
      <w:r>
        <w:rPr>
          <w:lang w:val="ru-RU"/>
        </w:rPr>
        <w:t xml:space="preserve"> </w:t>
      </w:r>
      <w:r>
        <w:rPr>
          <w:lang w:val="ru-RU"/>
        </w:rPr>
        <w:t xml:space="preserve">форматі</w:t>
      </w:r>
      <w:r>
        <w:rPr>
          <w:lang w:val="ru-RU"/>
        </w:rPr>
        <w:t xml:space="preserve">. </w:t>
      </w:r>
      <w:r>
        <w:rPr>
          <w:lang w:val="ru-RU"/>
        </w:rPr>
        <w:t xml:space="preserve">Рішення</w:t>
      </w:r>
      <w:r>
        <w:rPr>
          <w:lang w:val="ru-RU"/>
        </w:rPr>
        <w:t xml:space="preserve"> </w:t>
      </w:r>
      <w:r>
        <w:rPr>
          <w:lang w:val="ru-RU"/>
        </w:rPr>
        <w:t xml:space="preserve">щодо</w:t>
      </w:r>
      <w:r>
        <w:rPr>
          <w:lang w:val="ru-RU"/>
        </w:rPr>
        <w:t xml:space="preserve"> </w:t>
      </w:r>
      <w:r>
        <w:rPr>
          <w:lang w:val="ru-RU"/>
        </w:rPr>
        <w:t xml:space="preserve">форми</w:t>
      </w:r>
      <w:r>
        <w:rPr>
          <w:lang w:val="ru-RU"/>
        </w:rPr>
        <w:t xml:space="preserve"> </w:t>
      </w:r>
      <w:r>
        <w:rPr>
          <w:lang w:val="ru-RU"/>
        </w:rPr>
        <w:t xml:space="preserve">проведення</w:t>
      </w:r>
      <w:r>
        <w:rPr>
          <w:lang w:val="ru-RU"/>
        </w:rPr>
        <w:t xml:space="preserve"> </w:t>
      </w:r>
      <w:r>
        <w:rPr>
          <w:lang w:val="ru-RU"/>
        </w:rPr>
        <w:t xml:space="preserve">засідання</w:t>
      </w:r>
      <w:r>
        <w:rPr>
          <w:lang w:val="ru-RU"/>
        </w:rPr>
        <w:t xml:space="preserve"> </w:t>
      </w:r>
      <w:r>
        <w:rPr>
          <w:lang w:val="ru-RU"/>
        </w:rPr>
        <w:t xml:space="preserve">приймається</w:t>
      </w:r>
      <w:r>
        <w:rPr>
          <w:lang w:val="ru-RU"/>
        </w:rPr>
        <w:t xml:space="preserve"> головою/заступником </w:t>
      </w:r>
      <w:r>
        <w:rPr>
          <w:lang w:val="ru-RU"/>
        </w:rPr>
        <w:t xml:space="preserve">голови</w:t>
      </w:r>
      <w:r>
        <w:rPr>
          <w:lang w:val="ru-RU"/>
        </w:rPr>
        <w:t xml:space="preserve"> </w:t>
      </w:r>
      <w:r>
        <w:rPr>
          <w:lang w:val="ru-RU"/>
        </w:rPr>
        <w:t xml:space="preserve">Комітету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5.5. Засідання Комітету є правочинним, якщо на ньому присутні більше половини від загального складу Комітету. У засіданнях Комітету можуть брати участь не лише його члени, але й небайдужі жителі громади</w:t>
      </w:r>
      <w:r>
        <w:rPr>
          <w:lang w:val="ru-RU"/>
        </w:rPr>
        <w:t xml:space="preserve">, </w:t>
      </w:r>
      <w:r>
        <w:rPr>
          <w:lang w:val="ru-RU"/>
        </w:rPr>
        <w:t xml:space="preserve">які</w:t>
      </w:r>
      <w:r>
        <w:rPr>
          <w:lang w:val="ru-RU"/>
        </w:rPr>
        <w:t xml:space="preserve"> </w:t>
      </w:r>
      <w:r>
        <w:rPr>
          <w:lang w:val="ru-RU"/>
        </w:rPr>
        <w:t xml:space="preserve">повідомляють</w:t>
      </w:r>
      <w:r>
        <w:rPr>
          <w:lang w:val="ru-RU"/>
        </w:rPr>
        <w:t xml:space="preserve"> про участь у </w:t>
      </w:r>
      <w:r>
        <w:rPr>
          <w:lang w:val="ru-RU"/>
        </w:rPr>
        <w:t xml:space="preserve">засідання</w:t>
      </w:r>
      <w:r>
        <w:rPr>
          <w:lang w:val="ru-RU"/>
        </w:rPr>
        <w:t xml:space="preserve"> шляхом </w:t>
      </w:r>
      <w:r>
        <w:rPr>
          <w:lang w:val="ru-RU"/>
        </w:rPr>
        <w:t xml:space="preserve">інформування</w:t>
      </w:r>
      <w:r>
        <w:rPr>
          <w:lang w:val="ru-RU"/>
        </w:rPr>
        <w:t xml:space="preserve"> </w:t>
      </w:r>
      <w:r>
        <w:rPr>
          <w:lang w:val="ru-RU"/>
        </w:rPr>
        <w:t xml:space="preserve">голови</w:t>
      </w:r>
      <w:r>
        <w:rPr>
          <w:lang w:val="ru-RU"/>
        </w:rPr>
        <w:t xml:space="preserve">/заступника </w:t>
      </w:r>
      <w:r>
        <w:rPr>
          <w:lang w:val="ru-RU"/>
        </w:rPr>
        <w:t xml:space="preserve">голови</w:t>
      </w:r>
      <w:r>
        <w:rPr>
          <w:lang w:val="ru-RU"/>
        </w:rPr>
        <w:t xml:space="preserve">/секретаря </w:t>
      </w:r>
      <w:r>
        <w:rPr>
          <w:lang w:val="ru-RU"/>
        </w:rPr>
        <w:t xml:space="preserve">Комітету</w:t>
      </w:r>
      <w:r>
        <w:rPr>
          <w:lang w:val="ru-RU"/>
        </w:rPr>
        <w:t xml:space="preserve"> не </w:t>
      </w:r>
      <w:r>
        <w:rPr>
          <w:lang w:val="ru-RU"/>
        </w:rPr>
        <w:t xml:space="preserve">пізніше</w:t>
      </w:r>
      <w:r>
        <w:rPr>
          <w:lang w:val="ru-RU"/>
        </w:rPr>
        <w:t xml:space="preserve">, </w:t>
      </w:r>
      <w:r>
        <w:rPr>
          <w:lang w:val="ru-RU"/>
        </w:rPr>
        <w:t xml:space="preserve">ніж</w:t>
      </w:r>
      <w:r>
        <w:rPr>
          <w:lang w:val="ru-RU"/>
        </w:rPr>
        <w:t xml:space="preserve"> за годину до </w:t>
      </w:r>
      <w:r>
        <w:rPr>
          <w:lang w:val="ru-RU"/>
        </w:rPr>
        <w:t xml:space="preserve">його</w:t>
      </w:r>
      <w:r>
        <w:rPr>
          <w:lang w:val="ru-RU"/>
        </w:rPr>
        <w:t xml:space="preserve"> </w:t>
      </w:r>
      <w:r>
        <w:rPr>
          <w:lang w:val="ru-RU"/>
        </w:rPr>
        <w:t xml:space="preserve">проведення</w:t>
      </w:r>
      <w:r>
        <w:rPr>
          <w:lang w:val="ru-RU"/>
        </w:rPr>
        <w:t xml:space="preserve">.</w:t>
      </w:r>
      <w:r>
        <w:t xml:space="preserve">.   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5.6. Рішення Комітету приймаються відкритим голосуванням простою більшістю голосів присутніх його членів та оформляються протоколом, який підписують голова (у разі його відсутності - заступник) і секретар Комітету. 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426"/>
        <w:rPr/>
      </w:pPr>
      <w:r>
        <w:t xml:space="preserve">5.7. Рішення Комітету, прийняті в межах його повноважень і відповідним чином оформлені є обов'язковими для розгляду міською радою, її виконавчими органами і враховуються в їх діяльності.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 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/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jc w:val="center"/>
        <w:rPr>
          <w:b/>
          <w:i/>
        </w:rPr>
      </w:pPr>
      <w:r>
        <w:rPr>
          <w:b/>
          <w:i/>
        </w:rPr>
        <w:t xml:space="preserve">П</w:t>
      </w:r>
      <w:r>
        <w:rPr>
          <w:b/>
          <w:i/>
        </w:rPr>
        <w:t xml:space="preserve">о</w:t>
      </w:r>
      <w:r>
        <w:rPr>
          <w:b/>
          <w:i/>
        </w:rPr>
        <w:t xml:space="preserve">ло</w:t>
      </w:r>
      <w:r>
        <w:rPr>
          <w:b/>
          <w:i/>
        </w:rPr>
        <w:t xml:space="preserve">ження про </w:t>
      </w:r>
      <w:bookmarkStart w:id="3" w:name="_Hlk194051842"/>
      <w:r>
        <w:rPr>
          <w:b/>
          <w:i/>
        </w:rPr>
        <w:t xml:space="preserve">моніторинг впровадження Стратегії розвитку освіти</w:t>
      </w:r>
      <w:bookmarkEnd w:id="3"/>
      <w:r>
        <w:rPr>
          <w:b/>
          <w:i/>
        </w:rPr>
        <w:t xml:space="preserve"> Менської міської територіальної громади на 2024-2027 роки</w:t>
      </w:r>
      <w:r>
        <w:rPr>
          <w:b/>
          <w:i/>
        </w:rPr>
      </w:r>
      <w:r>
        <w:rPr>
          <w:b/>
          <w:i/>
        </w:rPr>
      </w:r>
    </w:p>
    <w:p>
      <w:pPr>
        <w:pBdr/>
        <w:tabs>
          <w:tab w:val="clear" w:leader="none" w:pos="1134"/>
          <w:tab w:val="left" w:leader="none" w:pos="6520"/>
        </w:tabs>
        <w:spacing/>
        <w:ind/>
        <w:rPr>
          <w:b/>
        </w:rPr>
      </w:pPr>
      <w:r>
        <w:rPr>
          <w:b/>
        </w:rPr>
        <w:t xml:space="preserve">Цілі моніторингу</w:t>
      </w:r>
      <w:r>
        <w:rPr>
          <w:b/>
        </w:rPr>
      </w:r>
      <w:r>
        <w:rPr>
          <w:b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Основною метою моніторингу є забезпечення реалізації та постійної підтримки актуальності Стратегії розвитку освіти Менської міської територіальної громади </w:t>
      </w:r>
      <w:r>
        <w:t xml:space="preserve">на 2024-2027 роки</w:t>
      </w:r>
      <w:r>
        <w:t xml:space="preserve">, затвердженої рішенням </w:t>
      </w:r>
      <w:r>
        <w:t xml:space="preserve">п’ятдесят п’ятої сесії Менської </w:t>
      </w:r>
      <w:r>
        <w:t xml:space="preserve">міської ради</w:t>
      </w:r>
      <w:r>
        <w:t xml:space="preserve"> восьмого скликання від 21.11.2024 №</w:t>
      </w:r>
      <w:r>
        <w:t xml:space="preserve"> </w:t>
      </w:r>
      <w:r>
        <w:t xml:space="preserve">585</w:t>
      </w:r>
      <w:r>
        <w:t xml:space="preserve">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/>
        <w:rPr>
          <w:b/>
        </w:rPr>
      </w:pPr>
      <w:r>
        <w:rPr>
          <w:b/>
        </w:rPr>
        <w:t xml:space="preserve">Завдання моніторингу:</w:t>
      </w:r>
      <w:r>
        <w:rPr>
          <w:b/>
        </w:rPr>
      </w:r>
      <w:r>
        <w:rPr>
          <w:b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У ході моніторингу виконання Стратегії розвитку освіти вирішуються наступні завдання: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•стимулювання  реалізації Стратегії в цілому та в окремих цілях і завданнях;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•оцінка ступеню досягнення бачення, стратегічних та оперативних цілей Стратегії, надання інформації для прийняття рішень про розподіл ресурсів на досягнення цілей чи про їх коригування;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•оцінка ступеню реалізації цілей, надання інформації для уточнення і коригування цілей.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/>
        <w:rPr>
          <w:b/>
        </w:rPr>
      </w:pPr>
      <w:r>
        <w:rPr>
          <w:b/>
        </w:rPr>
        <w:t xml:space="preserve">Рівні моніторингу</w:t>
      </w:r>
      <w:r>
        <w:rPr>
          <w:b/>
        </w:rPr>
      </w:r>
      <w:r>
        <w:rPr>
          <w:b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Моніторинг Стратегії розвитку освіти включає три рівні: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1)</w:t>
      </w:r>
      <w:r>
        <w:t xml:space="preserve"> Моніторинг зовнішнього середовища розвитку освіти громади. Базується на аналізі </w:t>
      </w:r>
      <w:r>
        <w:t xml:space="preserve">основних показників, що характеризують ситуацію в державі в цілому та Чернігівській області, які є стратегічно важливими для системи освіти громади. Підсумки підводяться один раз на рік та доводяться як частина зведеного аналітичного моніторингового звіту.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2)</w:t>
      </w:r>
      <w:r>
        <w:t xml:space="preserve"> Моніторинг процесу реалізації Стратегії </w:t>
      </w:r>
      <w:r>
        <w:t xml:space="preserve">здійснюється </w:t>
      </w:r>
      <w:r>
        <w:t xml:space="preserve">відповідно до показників, які наведені у відповідному розділі Стратегії.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3)</w:t>
      </w:r>
      <w:r>
        <w:t xml:space="preserve"> Моніторинг виконання проектів місцевого розвитку освіти, що складають План реалізації Стратегії.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/>
        <w:rPr>
          <w:b/>
        </w:rPr>
      </w:pPr>
      <w:r>
        <w:rPr>
          <w:b/>
        </w:rPr>
        <w:t xml:space="preserve">Форми здійснення моніторингу</w:t>
      </w:r>
      <w:r>
        <w:rPr>
          <w:b/>
        </w:rPr>
      </w:r>
      <w:r>
        <w:rPr>
          <w:b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Піврічні звіти розробляються на базі аналізу отриманої інформації і містять аналітичну узагальнену інформацію про просування реалізації Стратегії за всіма пріоритетними напрямками, стратегічними та оперативними цілями та містять: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а) виконані завдання, ступінь виконання кожної оперативної цілі, ступінь досягнення кожної стратегічної цілі;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б) невиконані завдання, причини та пропозиції щодо подальшого виконання;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в) дані за основними індикаторами, що відображають положення із стратегічних напр</w:t>
      </w:r>
      <w:r>
        <w:t xml:space="preserve">ямків, надаються відповідальним координатор</w:t>
      </w:r>
      <w:r>
        <w:rPr>
          <w:lang w:val="ru-RU"/>
        </w:rPr>
        <w:t xml:space="preserve">о</w:t>
      </w:r>
      <w:r>
        <w:t xml:space="preserve">м</w:t>
      </w:r>
      <w:r>
        <w:t xml:space="preserve"> за підсумками року;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г) рекомендації щодо усунення перешкод реалізації та пропозиції щодо коригування Стратегії;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д) оцінка потреб у бюджетному фінансуванні (з кожної стратегічної цілі визначається сума, яку слід включити до бюджету на стадії його формування – ІІ півріччя, чи на стадії його коригування – І півріччя).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Піврічні звіти надаються для опрацювання обов’язково в електронному та друкованому вигляді.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Результати піврічних звітів виносяться на обговорення </w:t>
      </w:r>
      <w:r>
        <w:rPr>
          <w:color w:val="000000" w:themeColor="text1"/>
        </w:rPr>
        <w:t xml:space="preserve">Комітету (надалі – Комітет)</w:t>
      </w:r>
      <w:r>
        <w:rPr>
          <w:color w:val="ff0000"/>
        </w:rPr>
        <w:t xml:space="preserve">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/>
        <w:rPr>
          <w:b/>
        </w:rPr>
      </w:pPr>
      <w:r>
        <w:rPr>
          <w:b/>
        </w:rPr>
        <w:t xml:space="preserve">Зведений аналітичний моніторинговий звіт</w:t>
      </w:r>
      <w:r>
        <w:rPr>
          <w:b/>
        </w:rPr>
      </w:r>
      <w:r>
        <w:rPr>
          <w:b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Один раз на рік ві</w:t>
      </w:r>
      <w:r>
        <w:t xml:space="preserve">дповідальні особи готують зведений аналітичний звіт, який вноситься на обговорення і затвердження Комітету та виноситься на розгляд міської ради. Копії звіту надаються міському голові, секретарю міської ради, керуючому справами, заступникам міського голови</w:t>
      </w:r>
      <w:r>
        <w:rPr>
          <w:lang w:val="ru-RU"/>
        </w:rPr>
        <w:t xml:space="preserve">. 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У звіті міститься: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а) аналіз зовнішнього оточення (міститься у річному звіті);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б) аналіз виконання планів дій;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в) пропозиції щодо коригування основного тексту Стратегії на засідання сесії </w:t>
      </w:r>
      <w:r>
        <w:t xml:space="preserve">Менської </w:t>
      </w:r>
      <w:r>
        <w:t xml:space="preserve">міської ради;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г) рекомендації щодо актуалізації цілей та планів дій;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д) оцінки потреб у фінансуванні, в тому числі із міського бюджету в поточному році та внесення пропозицій щодо видатків міського бюджету наступного року.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/>
        <w:rPr>
          <w:b/>
        </w:rPr>
      </w:pPr>
      <w:r>
        <w:rPr>
          <w:b/>
        </w:rPr>
        <w:t xml:space="preserve">Розподіл відповідальності</w:t>
      </w:r>
      <w:r>
        <w:rPr>
          <w:b/>
        </w:rPr>
      </w:r>
      <w:r>
        <w:rPr>
          <w:b/>
        </w:rPr>
      </w:r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Моніторинг процесу реалізації проводиться Комітетом, спеціалістами профільного відділу, відповідальним координатор</w:t>
      </w:r>
      <w:r>
        <w:t xml:space="preserve">о</w:t>
      </w:r>
      <w:r>
        <w:t xml:space="preserve">м</w:t>
      </w:r>
      <w:r>
        <w:t xml:space="preserve"> та </w:t>
      </w:r>
      <w:r>
        <w:t xml:space="preserve">відповідними </w:t>
      </w:r>
      <w:r>
        <w:t xml:space="preserve">керівниками структурних підрозділів міської ради.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Розподіл відповідальності здійснюється на засадах найбільшої ефективності: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•піврічні звіти (відповідальн</w:t>
      </w:r>
      <w:r>
        <w:t xml:space="preserve">ий</w:t>
      </w:r>
      <w:r>
        <w:t xml:space="preserve"> координатор</w:t>
      </w:r>
      <w:r>
        <w:t xml:space="preserve">);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•зведений аналітичний моніторинговий звіт (відповідальн</w:t>
      </w:r>
      <w:r>
        <w:t xml:space="preserve">ий</w:t>
      </w:r>
      <w:r>
        <w:t xml:space="preserve"> координатор</w:t>
      </w:r>
      <w:r>
        <w:t xml:space="preserve">);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•організація чергових та позачергових засідань Комітету (</w:t>
      </w:r>
      <w:r>
        <w:rPr>
          <w:lang w:val="ru-RU"/>
        </w:rPr>
        <w:t xml:space="preserve">голова та </w:t>
      </w:r>
      <w:r>
        <w:rPr>
          <w:lang w:val="ru-RU"/>
        </w:rPr>
        <w:t xml:space="preserve">секретар</w:t>
      </w:r>
      <w:r>
        <w:rPr>
          <w:lang w:val="ru-RU"/>
        </w:rPr>
        <w:t xml:space="preserve"> </w:t>
      </w:r>
      <w:r>
        <w:rPr>
          <w:lang w:val="ru-RU"/>
        </w:rPr>
        <w:t xml:space="preserve">Комітету</w:t>
      </w:r>
      <w:r>
        <w:t xml:space="preserve">).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Відповідальн</w:t>
      </w:r>
      <w:r>
        <w:t xml:space="preserve">ий</w:t>
      </w:r>
      <w:r>
        <w:t xml:space="preserve"> координатор</w:t>
      </w:r>
      <w:r>
        <w:t xml:space="preserve"> особисто відповіда</w:t>
      </w:r>
      <w:r>
        <w:t xml:space="preserve">є</w:t>
      </w:r>
      <w:r>
        <w:t xml:space="preserve"> за своєчасне та відповідне вимогам, що їх поставлено у даному документі, надання піврічних звітів та іншої інформації, з метою якісного проведення моніторингу та сприяння реалізації Стратегії в цілому.</w:t>
      </w:r>
      <w:r/>
    </w:p>
    <w:p>
      <w:pPr>
        <w:pBdr/>
        <w:tabs>
          <w:tab w:val="clear" w:leader="none" w:pos="1134"/>
          <w:tab w:val="left" w:leader="none" w:pos="6520"/>
        </w:tabs>
        <w:spacing/>
        <w:ind w:firstLine="0"/>
        <w:rPr/>
      </w:pPr>
      <w:r>
        <w:t xml:space="preserve">Відповідальність за контроль над моніторингом і процесом реалізації Стратегії розвитку освіти покладається на голову Комітету.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7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firstLine="0"/>
      <w:jc w:val="center"/>
      <w:rPr/>
    </w:pP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0784928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Heading 1 Char"/>
    <w:basedOn w:val="746"/>
    <w:link w:val="7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0">
    <w:name w:val="Heading 2 Char"/>
    <w:basedOn w:val="746"/>
    <w:link w:val="7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1">
    <w:name w:val="Heading 3 Char"/>
    <w:basedOn w:val="746"/>
    <w:link w:val="7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2">
    <w:name w:val="Heading 4 Char"/>
    <w:basedOn w:val="746"/>
    <w:link w:val="74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3">
    <w:name w:val="Heading 5 Char"/>
    <w:basedOn w:val="746"/>
    <w:link w:val="7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4">
    <w:name w:val="Heading 6 Char"/>
    <w:basedOn w:val="746"/>
    <w:link w:val="7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5">
    <w:name w:val="Heading 7 Char"/>
    <w:basedOn w:val="746"/>
    <w:link w:val="74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6">
    <w:name w:val="Heading 8 Char"/>
    <w:basedOn w:val="746"/>
    <w:link w:val="7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7">
    <w:name w:val="Heading 9 Char"/>
    <w:basedOn w:val="746"/>
    <w:link w:val="7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8">
    <w:name w:val="Title Char"/>
    <w:basedOn w:val="746"/>
    <w:link w:val="88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9">
    <w:name w:val="Subtitle Char"/>
    <w:basedOn w:val="746"/>
    <w:link w:val="88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0">
    <w:name w:val="Quote Char"/>
    <w:basedOn w:val="746"/>
    <w:link w:val="88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1">
    <w:name w:val="Intense Quote Char"/>
    <w:basedOn w:val="746"/>
    <w:link w:val="88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2">
    <w:name w:val="Header Char"/>
    <w:basedOn w:val="746"/>
    <w:link w:val="888"/>
    <w:uiPriority w:val="99"/>
    <w:pPr>
      <w:pBdr/>
      <w:spacing/>
      <w:ind/>
    </w:pPr>
  </w:style>
  <w:style w:type="character" w:styleId="733">
    <w:name w:val="Footer Char"/>
    <w:basedOn w:val="746"/>
    <w:link w:val="890"/>
    <w:uiPriority w:val="99"/>
    <w:pPr>
      <w:pBdr/>
      <w:spacing/>
      <w:ind/>
    </w:pPr>
  </w:style>
  <w:style w:type="character" w:styleId="734">
    <w:name w:val="Footnote Text Char"/>
    <w:basedOn w:val="746"/>
    <w:link w:val="915"/>
    <w:uiPriority w:val="99"/>
    <w:semiHidden/>
    <w:pPr>
      <w:pBdr/>
      <w:spacing/>
      <w:ind/>
    </w:pPr>
    <w:rPr>
      <w:sz w:val="20"/>
      <w:szCs w:val="20"/>
    </w:rPr>
  </w:style>
  <w:style w:type="character" w:styleId="735">
    <w:name w:val="Endnote Text Char"/>
    <w:basedOn w:val="746"/>
    <w:link w:val="759"/>
    <w:uiPriority w:val="99"/>
    <w:semiHidden/>
    <w:pPr>
      <w:pBdr/>
      <w:spacing/>
      <w:ind/>
    </w:pPr>
    <w:rPr>
      <w:sz w:val="20"/>
      <w:szCs w:val="20"/>
    </w:rPr>
  </w:style>
  <w:style w:type="paragraph" w:styleId="73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37">
    <w:name w:val="Heading 1"/>
    <w:basedOn w:val="736"/>
    <w:next w:val="736"/>
    <w:link w:val="8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8">
    <w:name w:val="Heading 2"/>
    <w:basedOn w:val="736"/>
    <w:next w:val="736"/>
    <w:link w:val="87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39">
    <w:name w:val="Heading 3"/>
    <w:basedOn w:val="736"/>
    <w:next w:val="736"/>
    <w:link w:val="87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87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87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87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43">
    <w:name w:val="Heading 7"/>
    <w:basedOn w:val="736"/>
    <w:next w:val="736"/>
    <w:link w:val="87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44">
    <w:name w:val="Heading 8"/>
    <w:basedOn w:val="736"/>
    <w:next w:val="736"/>
    <w:link w:val="87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45">
    <w:name w:val="Heading 9"/>
    <w:basedOn w:val="736"/>
    <w:next w:val="736"/>
    <w:link w:val="87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  <w:pPr>
      <w:pBdr/>
      <w:spacing/>
      <w:ind/>
    </w:pPr>
  </w:style>
  <w:style w:type="table" w:styleId="74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8" w:default="1">
    <w:name w:val="No List"/>
    <w:uiPriority w:val="99"/>
    <w:semiHidden/>
    <w:unhideWhenUsed/>
    <w:pPr>
      <w:pBdr/>
      <w:spacing/>
      <w:ind/>
    </w:pPr>
  </w:style>
  <w:style w:type="character" w:styleId="749">
    <w:name w:val="Intense Emphasis"/>
    <w:basedOn w:val="74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50">
    <w:name w:val="Intense Reference"/>
    <w:basedOn w:val="74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51">
    <w:name w:val="Subtle Emphasis"/>
    <w:basedOn w:val="7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Emphasis"/>
    <w:basedOn w:val="746"/>
    <w:uiPriority w:val="20"/>
    <w:qFormat/>
    <w:pPr>
      <w:pBdr/>
      <w:spacing/>
      <w:ind/>
    </w:pPr>
    <w:rPr>
      <w:i/>
      <w:iCs/>
    </w:rPr>
  </w:style>
  <w:style w:type="character" w:styleId="753">
    <w:name w:val="Strong"/>
    <w:basedOn w:val="746"/>
    <w:uiPriority w:val="22"/>
    <w:qFormat/>
    <w:pPr>
      <w:pBdr/>
      <w:spacing/>
      <w:ind/>
    </w:pPr>
    <w:rPr>
      <w:b/>
      <w:bCs/>
    </w:rPr>
  </w:style>
  <w:style w:type="character" w:styleId="754">
    <w:name w:val="Subtle Reference"/>
    <w:basedOn w:val="7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5">
    <w:name w:val="Book Title"/>
    <w:basedOn w:val="74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56">
    <w:name w:val="FollowedHyperlink"/>
    <w:basedOn w:val="74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57">
    <w:name w:val="Caption"/>
    <w:basedOn w:val="736"/>
    <w:next w:val="7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uiPriority w:val="99"/>
    <w:pPr>
      <w:pBdr/>
      <w:spacing/>
      <w:ind/>
    </w:pPr>
  </w:style>
  <w:style w:type="paragraph" w:styleId="759">
    <w:name w:val="endnote text"/>
    <w:basedOn w:val="736"/>
    <w:link w:val="760"/>
    <w:uiPriority w:val="99"/>
    <w:semiHidden/>
    <w:unhideWhenUsed/>
    <w:pPr>
      <w:pBdr/>
      <w:spacing/>
      <w:ind/>
    </w:pPr>
    <w:rPr>
      <w:sz w:val="20"/>
    </w:rPr>
  </w:style>
  <w:style w:type="character" w:styleId="760" w:customStyle="1">
    <w:name w:val="Текст кінцевої виноски Знак"/>
    <w:link w:val="759"/>
    <w:uiPriority w:val="99"/>
    <w:pPr>
      <w:pBdr/>
      <w:spacing/>
      <w:ind/>
    </w:pPr>
    <w:rPr>
      <w:sz w:val="20"/>
    </w:rPr>
  </w:style>
  <w:style w:type="character" w:styleId="761">
    <w:name w:val="endnote reference"/>
    <w:basedOn w:val="746"/>
    <w:uiPriority w:val="99"/>
    <w:semiHidden/>
    <w:unhideWhenUsed/>
    <w:pPr>
      <w:pBdr/>
      <w:spacing/>
      <w:ind/>
    </w:pPr>
    <w:rPr>
      <w:vertAlign w:val="superscript"/>
    </w:rPr>
  </w:style>
  <w:style w:type="paragraph" w:styleId="762">
    <w:name w:val="table of figures"/>
    <w:basedOn w:val="736"/>
    <w:next w:val="736"/>
    <w:uiPriority w:val="99"/>
    <w:unhideWhenUsed/>
    <w:pPr>
      <w:pBdr/>
      <w:spacing/>
      <w:ind/>
    </w:pPr>
  </w:style>
  <w:style w:type="table" w:styleId="763" w:customStyle="1">
    <w:name w:val="Table Grid Light"/>
    <w:basedOn w:val="747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1"/>
    <w:basedOn w:val="747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2"/>
    <w:basedOn w:val="747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1 Light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2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3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1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2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3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4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5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4 - Accent 6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5 Dark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6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7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1 Light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2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3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4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5 Dark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6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7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9" w:customStyle="1">
    <w:name w:val="Заголовок 1 Знак"/>
    <w:basedOn w:val="746"/>
    <w:link w:val="73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70" w:customStyle="1">
    <w:name w:val="Заголовок 2 Знак"/>
    <w:basedOn w:val="746"/>
    <w:link w:val="73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71" w:customStyle="1">
    <w:name w:val="Заголовок 3 Знак"/>
    <w:basedOn w:val="746"/>
    <w:link w:val="73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72" w:customStyle="1">
    <w:name w:val="Заголовок 4 Знак"/>
    <w:basedOn w:val="746"/>
    <w:link w:val="74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73" w:customStyle="1">
    <w:name w:val="Заголовок 5 Знак"/>
    <w:basedOn w:val="746"/>
    <w:link w:val="74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74" w:customStyle="1">
    <w:name w:val="Заголовок 6 Знак"/>
    <w:basedOn w:val="746"/>
    <w:link w:val="74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75" w:customStyle="1">
    <w:name w:val="Заголовок 7 Знак"/>
    <w:basedOn w:val="746"/>
    <w:link w:val="7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6" w:customStyle="1">
    <w:name w:val="Заголовок 8 Знак"/>
    <w:basedOn w:val="746"/>
    <w:link w:val="74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77" w:customStyle="1">
    <w:name w:val="Заголовок 9 Знак"/>
    <w:basedOn w:val="74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78">
    <w:name w:val="List Paragraph"/>
    <w:basedOn w:val="736"/>
    <w:uiPriority w:val="34"/>
    <w:qFormat/>
    <w:pPr>
      <w:pBdr/>
      <w:spacing/>
      <w:ind w:left="720"/>
      <w:contextualSpacing w:val="true"/>
    </w:pPr>
  </w:style>
  <w:style w:type="paragraph" w:styleId="879">
    <w:name w:val="No Spacing"/>
    <w:uiPriority w:val="1"/>
    <w:qFormat/>
    <w:pPr>
      <w:pBdr/>
      <w:spacing w:after="0" w:line="240" w:lineRule="auto"/>
      <w:ind/>
    </w:pPr>
  </w:style>
  <w:style w:type="paragraph" w:styleId="880">
    <w:name w:val="Title"/>
    <w:basedOn w:val="736"/>
    <w:next w:val="736"/>
    <w:link w:val="88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81" w:customStyle="1">
    <w:name w:val="Назва Знак"/>
    <w:basedOn w:val="746"/>
    <w:link w:val="880"/>
    <w:uiPriority w:val="10"/>
    <w:pPr>
      <w:pBdr/>
      <w:spacing/>
      <w:ind/>
    </w:pPr>
    <w:rPr>
      <w:sz w:val="48"/>
      <w:szCs w:val="48"/>
    </w:rPr>
  </w:style>
  <w:style w:type="paragraph" w:styleId="882">
    <w:name w:val="Subtitle"/>
    <w:basedOn w:val="736"/>
    <w:next w:val="736"/>
    <w:link w:val="88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83" w:customStyle="1">
    <w:name w:val="Підзаголовок Знак"/>
    <w:basedOn w:val="746"/>
    <w:link w:val="882"/>
    <w:uiPriority w:val="11"/>
    <w:pPr>
      <w:pBdr/>
      <w:spacing/>
      <w:ind/>
    </w:pPr>
    <w:rPr>
      <w:sz w:val="24"/>
      <w:szCs w:val="24"/>
    </w:rPr>
  </w:style>
  <w:style w:type="paragraph" w:styleId="884">
    <w:name w:val="Quote"/>
    <w:basedOn w:val="736"/>
    <w:next w:val="736"/>
    <w:link w:val="885"/>
    <w:uiPriority w:val="29"/>
    <w:qFormat/>
    <w:pPr>
      <w:pBdr/>
      <w:spacing/>
      <w:ind w:right="720" w:left="720"/>
    </w:pPr>
    <w:rPr>
      <w:i/>
    </w:rPr>
  </w:style>
  <w:style w:type="character" w:styleId="885" w:customStyle="1">
    <w:name w:val="Цитата Знак"/>
    <w:link w:val="884"/>
    <w:uiPriority w:val="29"/>
    <w:pPr>
      <w:pBdr/>
      <w:spacing/>
      <w:ind/>
    </w:pPr>
    <w:rPr>
      <w:i/>
    </w:rPr>
  </w:style>
  <w:style w:type="paragraph" w:styleId="886">
    <w:name w:val="Intense Quote"/>
    <w:basedOn w:val="736"/>
    <w:next w:val="736"/>
    <w:link w:val="88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87" w:customStyle="1">
    <w:name w:val="Насичена цитата Знак"/>
    <w:link w:val="886"/>
    <w:uiPriority w:val="30"/>
    <w:pPr>
      <w:pBdr/>
      <w:spacing/>
      <w:ind/>
    </w:pPr>
    <w:rPr>
      <w:i/>
    </w:rPr>
  </w:style>
  <w:style w:type="paragraph" w:styleId="888">
    <w:name w:val="Header"/>
    <w:basedOn w:val="736"/>
    <w:link w:val="889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89" w:customStyle="1">
    <w:name w:val="Верхній колонтитул Знак"/>
    <w:basedOn w:val="746"/>
    <w:link w:val="888"/>
    <w:uiPriority w:val="99"/>
    <w:pPr>
      <w:pBdr/>
      <w:spacing/>
      <w:ind/>
    </w:pPr>
  </w:style>
  <w:style w:type="paragraph" w:styleId="890">
    <w:name w:val="Footer"/>
    <w:basedOn w:val="736"/>
    <w:link w:val="891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91" w:customStyle="1">
    <w:name w:val="Нижній колонтитул Знак"/>
    <w:basedOn w:val="746"/>
    <w:link w:val="890"/>
    <w:uiPriority w:val="99"/>
    <w:pPr>
      <w:pBdr/>
      <w:spacing/>
      <w:ind/>
    </w:pPr>
  </w:style>
  <w:style w:type="table" w:styleId="892">
    <w:name w:val="Table Grid"/>
    <w:basedOn w:val="747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1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2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3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4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5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6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1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 2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3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4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5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 6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5">
    <w:name w:val="footnote text"/>
    <w:basedOn w:val="736"/>
    <w:link w:val="916"/>
    <w:uiPriority w:val="99"/>
    <w:semiHidden/>
    <w:unhideWhenUsed/>
    <w:pPr>
      <w:pBdr/>
      <w:spacing w:after="40"/>
      <w:ind/>
    </w:pPr>
    <w:rPr>
      <w:sz w:val="18"/>
    </w:rPr>
  </w:style>
  <w:style w:type="character" w:styleId="916" w:customStyle="1">
    <w:name w:val="Текст виноски Знак"/>
    <w:link w:val="915"/>
    <w:uiPriority w:val="99"/>
    <w:pPr>
      <w:pBdr/>
      <w:spacing/>
      <w:ind/>
    </w:pPr>
    <w:rPr>
      <w:sz w:val="18"/>
    </w:rPr>
  </w:style>
  <w:style w:type="character" w:styleId="917">
    <w:name w:val="footnote reference"/>
    <w:basedOn w:val="746"/>
    <w:uiPriority w:val="99"/>
    <w:unhideWhenUsed/>
    <w:pPr>
      <w:pBdr/>
      <w:spacing/>
      <w:ind/>
    </w:pPr>
    <w:rPr>
      <w:vertAlign w:val="superscript"/>
    </w:rPr>
  </w:style>
  <w:style w:type="paragraph" w:styleId="918">
    <w:name w:val="toc 1"/>
    <w:basedOn w:val="736"/>
    <w:next w:val="736"/>
    <w:uiPriority w:val="39"/>
    <w:unhideWhenUsed/>
    <w:pPr>
      <w:pBdr/>
      <w:spacing w:after="57"/>
      <w:ind w:firstLine="0"/>
    </w:pPr>
  </w:style>
  <w:style w:type="paragraph" w:styleId="919">
    <w:name w:val="toc 2"/>
    <w:basedOn w:val="736"/>
    <w:next w:val="736"/>
    <w:uiPriority w:val="39"/>
    <w:unhideWhenUsed/>
    <w:pPr>
      <w:pBdr/>
      <w:spacing w:after="57"/>
      <w:ind w:firstLine="0" w:left="283"/>
    </w:pPr>
  </w:style>
  <w:style w:type="paragraph" w:styleId="920">
    <w:name w:val="toc 3"/>
    <w:basedOn w:val="736"/>
    <w:next w:val="736"/>
    <w:uiPriority w:val="39"/>
    <w:unhideWhenUsed/>
    <w:pPr>
      <w:pBdr/>
      <w:spacing w:after="57"/>
      <w:ind w:firstLine="0" w:left="567"/>
    </w:pPr>
  </w:style>
  <w:style w:type="paragraph" w:styleId="921">
    <w:name w:val="toc 4"/>
    <w:basedOn w:val="736"/>
    <w:next w:val="736"/>
    <w:uiPriority w:val="39"/>
    <w:unhideWhenUsed/>
    <w:pPr>
      <w:pBdr/>
      <w:spacing w:after="57"/>
      <w:ind w:firstLine="0" w:left="850"/>
    </w:pPr>
  </w:style>
  <w:style w:type="paragraph" w:styleId="922">
    <w:name w:val="toc 5"/>
    <w:basedOn w:val="736"/>
    <w:next w:val="736"/>
    <w:uiPriority w:val="39"/>
    <w:unhideWhenUsed/>
    <w:pPr>
      <w:pBdr/>
      <w:spacing w:after="57"/>
      <w:ind w:firstLine="0" w:left="1134"/>
    </w:pPr>
  </w:style>
  <w:style w:type="paragraph" w:styleId="923">
    <w:name w:val="toc 6"/>
    <w:basedOn w:val="736"/>
    <w:next w:val="736"/>
    <w:uiPriority w:val="39"/>
    <w:unhideWhenUsed/>
    <w:pPr>
      <w:pBdr/>
      <w:spacing w:after="57"/>
      <w:ind w:firstLine="0" w:left="1417"/>
    </w:pPr>
  </w:style>
  <w:style w:type="paragraph" w:styleId="924">
    <w:name w:val="toc 7"/>
    <w:basedOn w:val="736"/>
    <w:next w:val="736"/>
    <w:uiPriority w:val="39"/>
    <w:unhideWhenUsed/>
    <w:pPr>
      <w:pBdr/>
      <w:spacing w:after="57"/>
      <w:ind w:firstLine="0" w:left="1701"/>
    </w:pPr>
  </w:style>
  <w:style w:type="paragraph" w:styleId="925">
    <w:name w:val="toc 8"/>
    <w:basedOn w:val="736"/>
    <w:next w:val="736"/>
    <w:uiPriority w:val="39"/>
    <w:unhideWhenUsed/>
    <w:pPr>
      <w:pBdr/>
      <w:spacing w:after="57"/>
      <w:ind w:firstLine="0" w:left="1984"/>
    </w:pPr>
  </w:style>
  <w:style w:type="paragraph" w:styleId="926">
    <w:name w:val="toc 9"/>
    <w:basedOn w:val="736"/>
    <w:next w:val="736"/>
    <w:uiPriority w:val="39"/>
    <w:unhideWhenUsed/>
    <w:pPr>
      <w:pBdr/>
      <w:spacing w:after="57"/>
      <w:ind w:firstLine="0" w:left="2268"/>
    </w:pPr>
  </w:style>
  <w:style w:type="paragraph" w:styleId="927">
    <w:name w:val="TOC Heading"/>
    <w:uiPriority w:val="39"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Четвертакова Наталія Вікторівна</cp:lastModifiedBy>
  <cp:revision>5</cp:revision>
  <dcterms:created xsi:type="dcterms:W3CDTF">2025-04-01T06:41:00Z</dcterms:created>
  <dcterms:modified xsi:type="dcterms:W3CDTF">2025-04-08T13:33:39Z</dcterms:modified>
</cp:coreProperties>
</file>