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дев’ята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березня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189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договору оренди землі з ТОВ «Мена-Авангард» на новий строк</w:t>
      </w:r>
      <w:r>
        <w:rPr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Генерального директора ТОВ «Мена-Авангард» (код ЄДРПОУ – 30481568) О.М. Прищепи  щодо укладання договору оренди землі на земельну ділянку загальною площею 10,8380 га кадастровий номер 7423085900:08:000:0866 для ведення товарного сільс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ькогосподарського виробництва (код КВЦПЗ 01.01) на території Менської міської територіальної громади за межами с. Ліски, на новий строк, керуючись ст. ст. 12, 93, 116, 122, 123, 124,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ст.33 Закону України «Про оренду землі», рішенням 48 сесії Менської міської ради 8 скликання від 29 травня 2024 року №293 «Про затвердження ставок орендної 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Укласти з ТОВ «Мена-Авангард» договір оренди землі на земельну ділянку загальною площею 10,8380 га з кадастровим номером 7423085900:08:000:0866 для ведення товарного сільськогосподарського виробництва (код КВЦПЗ 01.01), на території Менської міської терито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ріальної громади за межами с. Ліски, на новий строк - на 7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61,69% від нормативної грошової оцінки земельних ділянок.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«Мена-Авангард» оформити договір оренди землі на земельну ділянку, зазначені в пункті 1 цього рішення та здійснити реєстрацію права оренди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ТОВ «Мена-Авангард»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 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2025-03-24T16:23:34Z</dcterms:modified>
</cp:coreProperties>
</file>