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4"/>
        <w:pBdr/>
        <w:spacing/>
        <w:ind w:firstLine="567"/>
        <w:jc w:val="center"/>
        <w:rPr>
          <w:color w:val="000000"/>
        </w:rPr>
      </w:pPr>
      <w:r>
        <w:rPr>
          <w:color w:val="000000" w:themeColor="text1"/>
          <w:lang w:eastAsia="uk-UA"/>
        </w:rPr>
      </w:r>
      <w:r>
        <w:rPr>
          <w:color w:val="000000"/>
        </w:rPr>
      </w:r>
    </w:p>
    <w:p>
      <w:pPr>
        <w:pStyle w:val="874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0</w:t>
      </w:r>
      <w:r>
        <w:rPr>
          <w:rFonts w:cs="Mangal"/>
          <w:color w:val="000000" w:themeColor="text1"/>
          <w:szCs w:val="28"/>
          <w:lang w:eastAsia="hi-IN" w:bidi="hi-IN"/>
        </w:rPr>
        <w:t xml:space="preserve">3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березня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49</w:t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386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ня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ого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а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</w:p>
    <w:p>
      <w:pPr>
        <w:pStyle w:val="873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</w:t>
      </w:r>
      <w:r>
        <w:rPr>
          <w:color w:val="000000"/>
          <w:szCs w:val="28"/>
          <w:lang w:eastAsia="uk-UA"/>
        </w:rPr>
        <w:t xml:space="preserve">помісячного розпису </w:t>
      </w:r>
      <w:r>
        <w:rPr>
          <w:color w:val="000000"/>
          <w:szCs w:val="28"/>
          <w:lang w:eastAsia="uk-UA"/>
        </w:rPr>
        <w:t xml:space="preserve">видатків </w:t>
      </w:r>
      <w:r>
        <w:rPr>
          <w:color w:val="000000"/>
          <w:szCs w:val="28"/>
          <w:lang w:eastAsia="uk-UA"/>
        </w:rPr>
        <w:t xml:space="preserve">загального фонду</w:t>
      </w:r>
      <w:r>
        <w:t xml:space="preserve"> </w:t>
      </w:r>
      <w:r>
        <w:t xml:space="preserve">бюджету </w:t>
      </w:r>
      <w:r>
        <w:t xml:space="preserve">Відділу освіти Менської міської ради: </w:t>
      </w:r>
      <w:r>
        <w:rPr>
          <w:color w:val="000000"/>
          <w:szCs w:val="28"/>
          <w:lang w:eastAsia="uk-UA"/>
        </w:rPr>
      </w:r>
    </w:p>
    <w:p>
      <w:pPr>
        <w:pStyle w:val="873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t xml:space="preserve">по апарату</w:t>
      </w:r>
      <w:r>
        <w:t xml:space="preserve"> управління зменшити кошторисні призначення для оплати послуг (крім комунальних) на суму 1800,00 грн. у квітні місяці та на суму 1960,00 грн. у травні місяці, відповідно збільшити кошторисні призначення за вказаним напрямком на суму 3760,00 грн. у березні </w:t>
      </w:r>
      <w:r>
        <w:t xml:space="preserve">(оплата послуг з обслуговування програмного забезпечення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t xml:space="preserve">(КПКВК МБ 0610160 КЕКВ 2240);</w:t>
      </w:r>
      <w:r>
        <w:rPr>
          <w:color w:val="000000"/>
          <w:szCs w:val="28"/>
          <w:lang w:eastAsia="uk-UA"/>
        </w:rPr>
      </w:r>
    </w:p>
    <w:p>
      <w:pPr>
        <w:pStyle w:val="873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t xml:space="preserve">з надання дошкільної освіти </w:t>
      </w:r>
      <w:r>
        <w:t xml:space="preserve">зменшити </w:t>
      </w:r>
      <w:r>
        <w:t xml:space="preserve">кошторисні призначення для о</w:t>
      </w:r>
      <w:r>
        <w:t xml:space="preserve">плат</w:t>
      </w:r>
      <w:r>
        <w:t xml:space="preserve">и</w:t>
      </w:r>
      <w:r>
        <w:t xml:space="preserve"> інших енергоносіїв та інших комунальних послуг</w:t>
      </w:r>
      <w:r>
        <w:t xml:space="preserve"> на суму 31500,00 грн. у квітні місяці та на суму 41400,00 грн. у травні місяці, відповідно збільшити кошторисні призначення за вказаним напрямком у березні місяці на суму 72900,00 грн. (оплата за тверде паливо по </w:t>
      </w:r>
      <w:r>
        <w:t xml:space="preserve">Осьмаківському</w:t>
      </w:r>
      <w:r>
        <w:t xml:space="preserve">, </w:t>
      </w:r>
      <w:r>
        <w:t xml:space="preserve">Синявському</w:t>
      </w:r>
      <w:r>
        <w:t xml:space="preserve"> та </w:t>
      </w:r>
      <w:r>
        <w:t xml:space="preserve">Феськівському</w:t>
      </w:r>
      <w:r>
        <w:t xml:space="preserve"> закладах дошкільної освіти</w:t>
      </w:r>
      <w:r>
        <w:t xml:space="preserve">)</w:t>
      </w:r>
      <w:bookmarkStart w:id="0" w:name="_GoBack"/>
      <w:r/>
      <w:bookmarkEnd w:id="0"/>
      <w:r/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t xml:space="preserve">(КПКВК МБ 0</w:t>
      </w:r>
      <w:r>
        <w:t xml:space="preserve">6</w:t>
      </w:r>
      <w:r>
        <w:t xml:space="preserve">11010 КЕКВ 22</w:t>
      </w:r>
      <w:r>
        <w:t xml:space="preserve">75</w:t>
      </w:r>
      <w:r>
        <w:t xml:space="preserve">)</w:t>
      </w:r>
      <w:r>
        <w:t xml:space="preserve">;</w:t>
      </w:r>
      <w:r>
        <w:rPr>
          <w:color w:val="000000"/>
          <w:szCs w:val="28"/>
          <w:lang w:eastAsia="uk-UA"/>
        </w:rPr>
      </w:r>
    </w:p>
    <w:p>
      <w:pPr>
        <w:pStyle w:val="873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 н</w:t>
      </w:r>
      <w:r>
        <w:rPr>
          <w:color w:val="000000"/>
          <w:szCs w:val="28"/>
          <w:lang w:eastAsia="uk-UA"/>
        </w:rPr>
        <w:t xml:space="preserve">адання загальної середньої освіти закладами загальної середньої освіти за рахунок коштів місцевого бюджету</w:t>
      </w:r>
      <w:r>
        <w:t xml:space="preserve"> </w:t>
      </w:r>
      <w:r>
        <w:t xml:space="preserve">зменшити кошторисні призначення для о</w:t>
      </w:r>
      <w:r>
        <w:t xml:space="preserve">плат</w:t>
      </w:r>
      <w:r>
        <w:t xml:space="preserve">и</w:t>
      </w:r>
      <w:r>
        <w:t xml:space="preserve"> інших енергоносіїв та інших комунальних послуг</w:t>
      </w:r>
      <w:r>
        <w:t xml:space="preserve"> на суму 11500,00 грн. у квітні місяці, на суму 9000,00 грн. у травні місяці та на суму 191000,00 грн. у червні місяці, відповідно збільшити кошторисні призначення за вказаним напрямком у березні місяці на суму 211500,00 грн. (оплата за тверде паливо по </w:t>
      </w:r>
      <w:r>
        <w:t xml:space="preserve">Дягівському</w:t>
      </w:r>
      <w:r>
        <w:t xml:space="preserve">, </w:t>
      </w:r>
      <w:r>
        <w:t xml:space="preserve">Стольненському</w:t>
      </w:r>
      <w:r>
        <w:t xml:space="preserve"> та </w:t>
      </w:r>
      <w:r>
        <w:t xml:space="preserve">Синявському</w:t>
      </w:r>
      <w:r>
        <w:t xml:space="preserve"> ЗЗСО </w:t>
      </w:r>
      <w:r>
        <w:rPr>
          <w:lang w:val="en-US"/>
        </w:rPr>
        <w:t xml:space="preserve">I</w:t>
      </w:r>
      <w:r>
        <w:rPr>
          <w:lang w:val="ru-RU"/>
        </w:rPr>
        <w:t xml:space="preserve">-</w:t>
      </w:r>
      <w:r>
        <w:rPr>
          <w:lang w:val="en-US"/>
        </w:rPr>
        <w:t xml:space="preserve">III</w:t>
      </w:r>
      <w:r>
        <w:rPr>
          <w:lang w:val="ru-RU"/>
        </w:rPr>
        <w:t xml:space="preserve"> </w:t>
      </w:r>
      <w:r>
        <w:t xml:space="preserve">ст.)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0611021 КЕКВ 22</w:t>
      </w:r>
      <w:r>
        <w:rPr>
          <w:color w:val="000000"/>
          <w:szCs w:val="28"/>
          <w:lang w:eastAsia="uk-UA"/>
        </w:rPr>
        <w:t xml:space="preserve">75</w:t>
      </w:r>
      <w:r>
        <w:rPr>
          <w:color w:val="000000"/>
          <w:szCs w:val="28"/>
          <w:lang w:eastAsia="uk-UA"/>
        </w:rPr>
        <w:t xml:space="preserve">);</w:t>
      </w:r>
      <w:r>
        <w:rPr>
          <w:color w:val="000000"/>
          <w:szCs w:val="28"/>
          <w:lang w:eastAsia="uk-UA"/>
        </w:rPr>
      </w:r>
    </w:p>
    <w:p>
      <w:pPr>
        <w:pStyle w:val="873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по і</w:t>
      </w:r>
      <w:r>
        <w:rPr>
          <w:color w:val="000000"/>
          <w:szCs w:val="28"/>
          <w:lang w:eastAsia="uk-UA"/>
        </w:rPr>
        <w:t xml:space="preserve">нш</w:t>
      </w:r>
      <w:r>
        <w:rPr>
          <w:color w:val="000000"/>
          <w:szCs w:val="28"/>
          <w:lang w:eastAsia="uk-UA"/>
        </w:rPr>
        <w:t xml:space="preserve">их програмах</w:t>
      </w:r>
      <w:r>
        <w:rPr>
          <w:color w:val="000000"/>
          <w:szCs w:val="28"/>
          <w:lang w:eastAsia="uk-UA"/>
        </w:rPr>
        <w:t xml:space="preserve"> та заход</w:t>
      </w:r>
      <w:r>
        <w:rPr>
          <w:color w:val="000000"/>
          <w:szCs w:val="28"/>
          <w:lang w:eastAsia="uk-UA"/>
        </w:rPr>
        <w:t xml:space="preserve">ах</w:t>
      </w:r>
      <w:r>
        <w:rPr>
          <w:color w:val="000000"/>
          <w:szCs w:val="28"/>
          <w:lang w:eastAsia="uk-UA"/>
        </w:rPr>
        <w:t xml:space="preserve"> у сфері освіти</w:t>
      </w:r>
      <w:r>
        <w:rPr>
          <w:color w:val="000000"/>
          <w:szCs w:val="28"/>
          <w:lang w:eastAsia="uk-UA"/>
        </w:rPr>
        <w:t xml:space="preserve"> зменшити кошторисні призначення для придбання продуктів харчування у травні місяці на суму 3000,00 грн., відповідно збільшити кошторисні призначення за вказаним напрямком у березні місяці на таку ж суму</w:t>
      </w:r>
      <w:r>
        <w:rPr>
          <w:color w:val="000000"/>
          <w:szCs w:val="28"/>
          <w:lang w:eastAsia="uk-UA"/>
        </w:rPr>
        <w:t xml:space="preserve"> (придбання солодких призів</w:t>
      </w:r>
      <w:r>
        <w:rPr>
          <w:color w:val="000000"/>
          <w:szCs w:val="28"/>
          <w:lang w:eastAsia="uk-UA"/>
        </w:rPr>
        <w:t xml:space="preserve"> в </w:t>
      </w:r>
      <w:r>
        <w:rPr>
          <w:color w:val="000000"/>
          <w:szCs w:val="28"/>
          <w:lang w:eastAsia="uk-UA"/>
        </w:rPr>
        <w:t xml:space="preserve">частині фінансування Програми національно-патріотичного виховання на 2025-2027 роки по Відділу освіти Менської міської ради)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0611142 КЕКВ 2230).</w:t>
      </w:r>
      <w:r>
        <w:rPr>
          <w:color w:val="000000"/>
          <w:szCs w:val="28"/>
          <w:lang w:eastAsia="uk-UA"/>
        </w:rPr>
      </w:r>
    </w:p>
    <w:p>
      <w:pPr>
        <w:pStyle w:val="873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</w:p>
    <w:p>
      <w:pPr>
        <w:pBdr>
          <w:left w:val="none" w:color="000000" w:sz="4" w:space="0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83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9116851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  <w:color w:val="auto"/>
      </w:rPr>
      <w:start w:val="1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5"/>
  </w:num>
  <w:num w:numId="9">
    <w:abstractNumId w:val="12"/>
  </w:num>
  <w:num w:numId="10">
    <w:abstractNumId w:val="8"/>
  </w:num>
  <w:num w:numId="11">
    <w:abstractNumId w:val="13"/>
  </w:num>
  <w:num w:numId="12">
    <w:abstractNumId w:val="6"/>
  </w:num>
  <w:num w:numId="13">
    <w:abstractNumId w:val="14"/>
  </w:num>
  <w:num w:numId="14">
    <w:abstractNumId w:val="2"/>
  </w:num>
  <w:num w:numId="15">
    <w:abstractNumId w:val="17"/>
  </w:num>
  <w:num w:numId="16">
    <w:abstractNumId w:val="7"/>
  </w:num>
  <w:num w:numId="17">
    <w:abstractNumId w:val="10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7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1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04">
    <w:name w:val="Heading 1"/>
    <w:basedOn w:val="703"/>
    <w:next w:val="703"/>
    <w:link w:val="86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5">
    <w:name w:val="Heading 2"/>
    <w:basedOn w:val="703"/>
    <w:next w:val="703"/>
    <w:link w:val="8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next w:val="703"/>
    <w:link w:val="86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07">
    <w:name w:val="Heading 4"/>
    <w:basedOn w:val="703"/>
    <w:next w:val="703"/>
    <w:link w:val="86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703"/>
    <w:next w:val="703"/>
    <w:link w:val="8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703"/>
    <w:next w:val="703"/>
    <w:link w:val="8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10">
    <w:name w:val="Heading 7"/>
    <w:basedOn w:val="703"/>
    <w:next w:val="703"/>
    <w:link w:val="87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11">
    <w:name w:val="Heading 8"/>
    <w:basedOn w:val="703"/>
    <w:next w:val="703"/>
    <w:link w:val="8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12">
    <w:name w:val="Heading 9"/>
    <w:basedOn w:val="703"/>
    <w:next w:val="703"/>
    <w:link w:val="87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  <w:pPr>
      <w:pBdr/>
      <w:spacing/>
      <w:ind/>
    </w:pPr>
  </w:style>
  <w:style w:type="table" w:styleId="71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5" w:default="1">
    <w:name w:val="No List"/>
    <w:uiPriority w:val="99"/>
    <w:semiHidden/>
    <w:unhideWhenUsed/>
    <w:pPr>
      <w:pBdr/>
      <w:spacing/>
      <w:ind/>
    </w:pPr>
  </w:style>
  <w:style w:type="character" w:styleId="716" w:customStyle="1">
    <w:name w:val="Heading 1 Char"/>
    <w:basedOn w:val="7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17" w:customStyle="1">
    <w:name w:val="Heading 2 Char"/>
    <w:basedOn w:val="71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18" w:customStyle="1">
    <w:name w:val="Heading 3 Char"/>
    <w:basedOn w:val="71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9" w:customStyle="1">
    <w:name w:val="Heading 4 Char"/>
    <w:basedOn w:val="7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Heading 5 Char"/>
    <w:basedOn w:val="71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Heading 6 Char"/>
    <w:basedOn w:val="71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Heading 7 Char"/>
    <w:basedOn w:val="71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13"/>
    <w:uiPriority w:val="10"/>
    <w:pPr>
      <w:pBdr/>
      <w:spacing/>
      <w:ind/>
    </w:pPr>
    <w:rPr>
      <w:sz w:val="48"/>
      <w:szCs w:val="48"/>
    </w:rPr>
  </w:style>
  <w:style w:type="character" w:styleId="726" w:customStyle="1">
    <w:name w:val="Subtitle Char"/>
    <w:basedOn w:val="713"/>
    <w:uiPriority w:val="11"/>
    <w:pPr>
      <w:pBdr/>
      <w:spacing/>
      <w:ind/>
    </w:pPr>
    <w:rPr>
      <w:sz w:val="24"/>
      <w:szCs w:val="24"/>
    </w:rPr>
  </w:style>
  <w:style w:type="character" w:styleId="727" w:customStyle="1">
    <w:name w:val="Quote Char"/>
    <w:uiPriority w:val="29"/>
    <w:pPr>
      <w:pBdr/>
      <w:spacing/>
      <w:ind/>
    </w:pPr>
    <w:rPr>
      <w:i/>
    </w:rPr>
  </w:style>
  <w:style w:type="character" w:styleId="728" w:customStyle="1">
    <w:name w:val="Intense Quote Char"/>
    <w:uiPriority w:val="30"/>
    <w:pPr>
      <w:pBdr/>
      <w:spacing/>
      <w:ind/>
    </w:pPr>
    <w:rPr>
      <w:i/>
    </w:rPr>
  </w:style>
  <w:style w:type="character" w:styleId="729" w:customStyle="1">
    <w:name w:val="Header Char"/>
    <w:basedOn w:val="713"/>
    <w:uiPriority w:val="99"/>
    <w:pPr>
      <w:pBdr/>
      <w:spacing/>
      <w:ind/>
    </w:pPr>
  </w:style>
  <w:style w:type="character" w:styleId="730" w:customStyle="1">
    <w:name w:val="Footer Char"/>
    <w:basedOn w:val="713"/>
    <w:uiPriority w:val="99"/>
    <w:pPr>
      <w:pBdr/>
      <w:spacing/>
      <w:ind/>
    </w:pPr>
  </w:style>
  <w:style w:type="table" w:styleId="731" w:customStyle="1">
    <w:name w:val="Звичайна таблиця 1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Звичайна таблиця 2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Звичайна таблиця 3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Звичайна таблиця 4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Звичайна таблиця 5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Таблиця-сітка 1 (світл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Таблиця-сітка 2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Таблиця-сітка 3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Таблиця-сітка 41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Таблиця-сітка 5 (темн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Таблиця-сітка 6 (кольоров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Таблиця-сітка 7 (кольоров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Таблиця-список 1 (світл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Таблиця-список 2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Таблиця-список 3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Таблиця-список 4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Таблиця-список 5 (темн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Таблиця-список 6 (кольоров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Таблиця-список 7 (кольоров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0" w:customStyle="1">
    <w:name w:val="Footnote Text Char"/>
    <w:uiPriority w:val="99"/>
    <w:pPr>
      <w:pBdr/>
      <w:spacing/>
      <w:ind/>
    </w:pPr>
    <w:rPr>
      <w:sz w:val="18"/>
    </w:rPr>
  </w:style>
  <w:style w:type="character" w:styleId="751" w:customStyle="1">
    <w:name w:val="Endnote Text Char"/>
    <w:uiPriority w:val="99"/>
    <w:pPr>
      <w:pBdr/>
      <w:spacing/>
      <w:ind/>
    </w:pPr>
    <w:rPr>
      <w:sz w:val="20"/>
    </w:rPr>
  </w:style>
  <w:style w:type="paragraph" w:styleId="752">
    <w:name w:val="Caption"/>
    <w:basedOn w:val="703"/>
    <w:next w:val="7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uiPriority w:val="99"/>
    <w:pPr>
      <w:pBdr/>
      <w:spacing/>
      <w:ind/>
    </w:pPr>
  </w:style>
  <w:style w:type="paragraph" w:styleId="754">
    <w:name w:val="endnote text"/>
    <w:basedOn w:val="703"/>
    <w:link w:val="755"/>
    <w:uiPriority w:val="99"/>
    <w:semiHidden/>
    <w:unhideWhenUsed/>
    <w:pPr>
      <w:pBdr/>
      <w:spacing/>
      <w:ind/>
    </w:pPr>
    <w:rPr>
      <w:sz w:val="20"/>
    </w:rPr>
  </w:style>
  <w:style w:type="character" w:styleId="755" w:customStyle="1">
    <w:name w:val="Текст концевой сноски Знак"/>
    <w:link w:val="754"/>
    <w:uiPriority w:val="99"/>
    <w:pPr>
      <w:pBdr/>
      <w:spacing/>
      <w:ind/>
    </w:pPr>
    <w:rPr>
      <w:sz w:val="20"/>
    </w:rPr>
  </w:style>
  <w:style w:type="character" w:styleId="756">
    <w:name w:val="endnote reference"/>
    <w:basedOn w:val="713"/>
    <w:uiPriority w:val="99"/>
    <w:semiHidden/>
    <w:unhideWhenUsed/>
    <w:pPr>
      <w:pBdr/>
      <w:spacing/>
      <w:ind/>
    </w:pPr>
    <w:rPr>
      <w:vertAlign w:val="superscript"/>
    </w:rPr>
  </w:style>
  <w:style w:type="paragraph" w:styleId="757">
    <w:name w:val="table of figures"/>
    <w:basedOn w:val="703"/>
    <w:next w:val="703"/>
    <w:uiPriority w:val="99"/>
    <w:unhideWhenUsed/>
    <w:pPr>
      <w:pBdr/>
      <w:spacing/>
      <w:ind/>
    </w:pPr>
  </w:style>
  <w:style w:type="table" w:styleId="758" w:customStyle="1">
    <w:name w:val="Table Grid Light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Звичайна таблиця 1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Звичайна таблиця 2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Звичайна таблиця 3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Звичайна таблиця 4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Звичайна таблиця 5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Таблиця-сітка 1 (світл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Таблиця-сітка 2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я-сітка 3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я-сітка 41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1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2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3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5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6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ітка 5 (темн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ітка 6 (кольоров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ітка 7 (кольоров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я-список 1 (світл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я-список 2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писок 3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писок 4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писок 5 (темн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писок 6 (кольоров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писок 7 (кольоров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4" w:customStyle="1">
    <w:name w:val="Заголовок 1 Знак"/>
    <w:basedOn w:val="713"/>
    <w:link w:val="70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5" w:customStyle="1">
    <w:name w:val="Заголовок 2 Знак"/>
    <w:basedOn w:val="713"/>
    <w:link w:val="70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66" w:customStyle="1">
    <w:name w:val="Заголовок 3 Знак"/>
    <w:basedOn w:val="713"/>
    <w:link w:val="70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67" w:customStyle="1">
    <w:name w:val="Заголовок 4 Знак"/>
    <w:basedOn w:val="713"/>
    <w:link w:val="70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68" w:customStyle="1">
    <w:name w:val="Заголовок 5 Знак"/>
    <w:basedOn w:val="713"/>
    <w:link w:val="70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69" w:customStyle="1">
    <w:name w:val="Заголовок 6 Знак"/>
    <w:basedOn w:val="713"/>
    <w:link w:val="70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0" w:customStyle="1">
    <w:name w:val="Заголовок 7 Знак"/>
    <w:basedOn w:val="713"/>
    <w:link w:val="71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1" w:customStyle="1">
    <w:name w:val="Заголовок 8 Знак"/>
    <w:basedOn w:val="713"/>
    <w:link w:val="7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2" w:customStyle="1">
    <w:name w:val="Заголовок 9 Знак"/>
    <w:basedOn w:val="713"/>
    <w:link w:val="71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73">
    <w:name w:val="List Paragraph"/>
    <w:basedOn w:val="703"/>
    <w:uiPriority w:val="34"/>
    <w:qFormat/>
    <w:pPr>
      <w:pBdr/>
      <w:spacing/>
      <w:ind w:left="720"/>
      <w:contextualSpacing w:val="true"/>
    </w:pPr>
  </w:style>
  <w:style w:type="paragraph" w:styleId="874">
    <w:name w:val="No Spacing"/>
    <w:uiPriority w:val="1"/>
    <w:qFormat/>
    <w:pPr>
      <w:pBdr/>
      <w:spacing w:after="0" w:line="240" w:lineRule="auto"/>
      <w:ind/>
    </w:pPr>
  </w:style>
  <w:style w:type="paragraph" w:styleId="875">
    <w:name w:val="Title"/>
    <w:basedOn w:val="703"/>
    <w:next w:val="703"/>
    <w:link w:val="87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76" w:customStyle="1">
    <w:name w:val="Название Знак"/>
    <w:basedOn w:val="713"/>
    <w:link w:val="875"/>
    <w:uiPriority w:val="10"/>
    <w:pPr>
      <w:pBdr/>
      <w:spacing/>
      <w:ind/>
    </w:pPr>
    <w:rPr>
      <w:sz w:val="48"/>
      <w:szCs w:val="48"/>
    </w:rPr>
  </w:style>
  <w:style w:type="paragraph" w:styleId="877">
    <w:name w:val="Subtitle"/>
    <w:basedOn w:val="703"/>
    <w:next w:val="703"/>
    <w:link w:val="87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78" w:customStyle="1">
    <w:name w:val="Подзаголовок Знак"/>
    <w:basedOn w:val="713"/>
    <w:link w:val="877"/>
    <w:uiPriority w:val="11"/>
    <w:pPr>
      <w:pBdr/>
      <w:spacing/>
      <w:ind/>
    </w:pPr>
    <w:rPr>
      <w:sz w:val="24"/>
      <w:szCs w:val="24"/>
    </w:rPr>
  </w:style>
  <w:style w:type="paragraph" w:styleId="879">
    <w:name w:val="Quote"/>
    <w:basedOn w:val="703"/>
    <w:next w:val="703"/>
    <w:link w:val="880"/>
    <w:uiPriority w:val="29"/>
    <w:qFormat/>
    <w:pPr>
      <w:pBdr/>
      <w:spacing/>
      <w:ind w:right="720" w:left="720"/>
    </w:pPr>
    <w:rPr>
      <w:i/>
    </w:rPr>
  </w:style>
  <w:style w:type="character" w:styleId="880" w:customStyle="1">
    <w:name w:val="Цитата 2 Знак"/>
    <w:link w:val="879"/>
    <w:uiPriority w:val="29"/>
    <w:pPr>
      <w:pBdr/>
      <w:spacing/>
      <w:ind/>
    </w:pPr>
    <w:rPr>
      <w:i/>
    </w:rPr>
  </w:style>
  <w:style w:type="paragraph" w:styleId="881">
    <w:name w:val="Intense Quote"/>
    <w:basedOn w:val="703"/>
    <w:next w:val="703"/>
    <w:link w:val="88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82" w:customStyle="1">
    <w:name w:val="Выделенная цитата Знак"/>
    <w:link w:val="881"/>
    <w:uiPriority w:val="30"/>
    <w:pPr>
      <w:pBdr/>
      <w:spacing/>
      <w:ind/>
    </w:pPr>
    <w:rPr>
      <w:i/>
    </w:rPr>
  </w:style>
  <w:style w:type="paragraph" w:styleId="883">
    <w:name w:val="Header"/>
    <w:basedOn w:val="703"/>
    <w:link w:val="88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4" w:customStyle="1">
    <w:name w:val="Верхний колонтитул Знак"/>
    <w:basedOn w:val="713"/>
    <w:link w:val="883"/>
    <w:uiPriority w:val="99"/>
    <w:pPr>
      <w:pBdr/>
      <w:spacing/>
      <w:ind/>
    </w:pPr>
  </w:style>
  <w:style w:type="paragraph" w:styleId="885">
    <w:name w:val="Footer"/>
    <w:basedOn w:val="703"/>
    <w:link w:val="88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6" w:customStyle="1">
    <w:name w:val="Нижний колонтитул Знак"/>
    <w:basedOn w:val="713"/>
    <w:link w:val="885"/>
    <w:uiPriority w:val="99"/>
    <w:pPr>
      <w:pBdr/>
      <w:spacing/>
      <w:ind/>
    </w:pPr>
  </w:style>
  <w:style w:type="table" w:styleId="887">
    <w:name w:val="Table Grid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1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2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3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4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5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6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1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2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3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4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5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6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0">
    <w:name w:val="footnote text"/>
    <w:basedOn w:val="703"/>
    <w:link w:val="911"/>
    <w:uiPriority w:val="99"/>
    <w:semiHidden/>
    <w:unhideWhenUsed/>
    <w:pPr>
      <w:pBdr/>
      <w:spacing w:after="40"/>
      <w:ind/>
    </w:pPr>
    <w:rPr>
      <w:sz w:val="18"/>
    </w:rPr>
  </w:style>
  <w:style w:type="character" w:styleId="911" w:customStyle="1">
    <w:name w:val="Текст сноски Знак"/>
    <w:link w:val="910"/>
    <w:uiPriority w:val="99"/>
    <w:pPr>
      <w:pBdr/>
      <w:spacing/>
      <w:ind/>
    </w:pPr>
    <w:rPr>
      <w:sz w:val="18"/>
    </w:rPr>
  </w:style>
  <w:style w:type="character" w:styleId="912">
    <w:name w:val="footnote reference"/>
    <w:basedOn w:val="713"/>
    <w:uiPriority w:val="99"/>
    <w:unhideWhenUsed/>
    <w:pPr>
      <w:pBdr/>
      <w:spacing/>
      <w:ind/>
    </w:pPr>
    <w:rPr>
      <w:vertAlign w:val="superscript"/>
    </w:rPr>
  </w:style>
  <w:style w:type="paragraph" w:styleId="913">
    <w:name w:val="toc 1"/>
    <w:basedOn w:val="703"/>
    <w:next w:val="703"/>
    <w:uiPriority w:val="39"/>
    <w:unhideWhenUsed/>
    <w:pPr>
      <w:pBdr/>
      <w:spacing w:after="57"/>
      <w:ind w:firstLine="0"/>
    </w:pPr>
  </w:style>
  <w:style w:type="paragraph" w:styleId="914">
    <w:name w:val="toc 2"/>
    <w:basedOn w:val="703"/>
    <w:next w:val="703"/>
    <w:uiPriority w:val="39"/>
    <w:unhideWhenUsed/>
    <w:pPr>
      <w:pBdr/>
      <w:spacing w:after="57"/>
      <w:ind w:firstLine="0" w:left="283"/>
    </w:pPr>
  </w:style>
  <w:style w:type="paragraph" w:styleId="915">
    <w:name w:val="toc 3"/>
    <w:basedOn w:val="703"/>
    <w:next w:val="703"/>
    <w:uiPriority w:val="39"/>
    <w:unhideWhenUsed/>
    <w:pPr>
      <w:pBdr/>
      <w:spacing w:after="57"/>
      <w:ind w:firstLine="0" w:left="567"/>
    </w:pPr>
  </w:style>
  <w:style w:type="paragraph" w:styleId="916">
    <w:name w:val="toc 4"/>
    <w:basedOn w:val="703"/>
    <w:next w:val="703"/>
    <w:uiPriority w:val="39"/>
    <w:unhideWhenUsed/>
    <w:pPr>
      <w:pBdr/>
      <w:spacing w:after="57"/>
      <w:ind w:firstLine="0" w:left="850"/>
    </w:pPr>
  </w:style>
  <w:style w:type="paragraph" w:styleId="917">
    <w:name w:val="toc 5"/>
    <w:basedOn w:val="703"/>
    <w:next w:val="703"/>
    <w:uiPriority w:val="39"/>
    <w:unhideWhenUsed/>
    <w:pPr>
      <w:pBdr/>
      <w:spacing w:after="57"/>
      <w:ind w:firstLine="0" w:left="1134"/>
    </w:pPr>
  </w:style>
  <w:style w:type="paragraph" w:styleId="918">
    <w:name w:val="toc 6"/>
    <w:basedOn w:val="703"/>
    <w:next w:val="703"/>
    <w:uiPriority w:val="39"/>
    <w:unhideWhenUsed/>
    <w:pPr>
      <w:pBdr/>
      <w:spacing w:after="57"/>
      <w:ind w:firstLine="0" w:left="1417"/>
    </w:pPr>
  </w:style>
  <w:style w:type="paragraph" w:styleId="919">
    <w:name w:val="toc 7"/>
    <w:basedOn w:val="703"/>
    <w:next w:val="703"/>
    <w:uiPriority w:val="39"/>
    <w:unhideWhenUsed/>
    <w:pPr>
      <w:pBdr/>
      <w:spacing w:after="57"/>
      <w:ind w:firstLine="0" w:left="1701"/>
    </w:pPr>
  </w:style>
  <w:style w:type="paragraph" w:styleId="920">
    <w:name w:val="toc 8"/>
    <w:basedOn w:val="703"/>
    <w:next w:val="703"/>
    <w:uiPriority w:val="39"/>
    <w:unhideWhenUsed/>
    <w:pPr>
      <w:pBdr/>
      <w:spacing w:after="57"/>
      <w:ind w:firstLine="0" w:left="1984"/>
    </w:pPr>
  </w:style>
  <w:style w:type="paragraph" w:styleId="921">
    <w:name w:val="toc 9"/>
    <w:basedOn w:val="703"/>
    <w:next w:val="703"/>
    <w:uiPriority w:val="39"/>
    <w:unhideWhenUsed/>
    <w:pPr>
      <w:pBdr/>
      <w:spacing w:after="57"/>
      <w:ind w:firstLine="0" w:left="2268"/>
    </w:pPr>
  </w:style>
  <w:style w:type="paragraph" w:styleId="922">
    <w:name w:val="TOC Heading"/>
    <w:uiPriority w:val="39"/>
    <w:unhideWhenUsed/>
    <w:pPr>
      <w:pBdr/>
      <w:spacing/>
      <w:ind/>
    </w:pPr>
  </w:style>
  <w:style w:type="paragraph" w:styleId="923">
    <w:name w:val="Balloon Text"/>
    <w:basedOn w:val="703"/>
    <w:link w:val="92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4" w:customStyle="1">
    <w:name w:val="Текст выноски Знак"/>
    <w:basedOn w:val="713"/>
    <w:link w:val="923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25" w:customStyle="1">
    <w:name w:val="docdata"/>
    <w:basedOn w:val="703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39860494-8A7F-4F6C-8592-66C9D7945F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330</cp:revision>
  <dcterms:created xsi:type="dcterms:W3CDTF">2023-11-21T13:30:00Z</dcterms:created>
  <dcterms:modified xsi:type="dcterms:W3CDTF">2025-03-04T10:13:50Z</dcterms:modified>
</cp:coreProperties>
</file>