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02" w:rsidRDefault="004E0302" w:rsidP="004E0302">
      <w:pPr>
        <w:pStyle w:val="1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="00FF38F9">
        <w:rPr>
          <w:color w:val="000000"/>
          <w:sz w:val="28"/>
          <w:szCs w:val="28"/>
          <w:lang w:val="uk-UA"/>
        </w:rPr>
        <w:t xml:space="preserve"> </w:t>
      </w:r>
      <w:r w:rsidR="009C62C8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FF38F9">
        <w:rPr>
          <w:color w:val="000000"/>
          <w:sz w:val="28"/>
          <w:szCs w:val="28"/>
          <w:lang w:val="uk-UA"/>
        </w:rPr>
        <w:t xml:space="preserve">Додаток </w:t>
      </w:r>
    </w:p>
    <w:p w:rsidR="004E0302" w:rsidRDefault="004E0302" w:rsidP="004E0302">
      <w:pPr>
        <w:pStyle w:val="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</w:t>
      </w:r>
      <w:r w:rsidR="00FF38F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протоколу засідання </w:t>
      </w:r>
    </w:p>
    <w:p w:rsidR="004E0302" w:rsidRDefault="004E0302" w:rsidP="004E0302">
      <w:pPr>
        <w:pStyle w:val="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виконавчого комітету </w:t>
      </w:r>
    </w:p>
    <w:p w:rsidR="004E0302" w:rsidRDefault="004E0302" w:rsidP="004E0302">
      <w:pPr>
        <w:pStyle w:val="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Менської міської ради </w:t>
      </w:r>
    </w:p>
    <w:p w:rsidR="004E0302" w:rsidRDefault="004E0302" w:rsidP="004E0302">
      <w:pPr>
        <w:pStyle w:val="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19 лютого 2025 року № 03</w:t>
      </w:r>
    </w:p>
    <w:p w:rsidR="004E0302" w:rsidRDefault="004E0302" w:rsidP="004E0302">
      <w:pPr>
        <w:pStyle w:val="1"/>
        <w:jc w:val="center"/>
        <w:rPr>
          <w:color w:val="000000"/>
          <w:sz w:val="28"/>
          <w:szCs w:val="28"/>
          <w:lang w:val="uk-UA"/>
        </w:rPr>
      </w:pPr>
    </w:p>
    <w:p w:rsidR="004E0302" w:rsidRDefault="004E0302" w:rsidP="004E03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Доповідь</w:t>
      </w:r>
    </w:p>
    <w:p w:rsidR="00FF38F9" w:rsidRPr="00FF38F9" w:rsidRDefault="004E0302" w:rsidP="004E030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Фінансового управління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r w:rsidR="00FF38F9">
        <w:rPr>
          <w:sz w:val="28"/>
          <w:szCs w:val="28"/>
          <w:lang w:val="uk-UA"/>
        </w:rPr>
        <w:t xml:space="preserve"> ради</w:t>
      </w:r>
    </w:p>
    <w:p w:rsidR="004E0302" w:rsidRDefault="00FF38F9" w:rsidP="004E03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Алли Петрівни </w:t>
      </w:r>
      <w:proofErr w:type="spellStart"/>
      <w:r>
        <w:rPr>
          <w:sz w:val="28"/>
          <w:szCs w:val="28"/>
          <w:lang w:val="uk-UA"/>
        </w:rPr>
        <w:t>Нерослик</w:t>
      </w:r>
      <w:proofErr w:type="spellEnd"/>
      <w:r>
        <w:rPr>
          <w:sz w:val="28"/>
          <w:szCs w:val="28"/>
          <w:lang w:val="uk-UA"/>
        </w:rPr>
        <w:t xml:space="preserve"> </w:t>
      </w:r>
      <w:r w:rsidR="004E0302">
        <w:rPr>
          <w:sz w:val="28"/>
          <w:szCs w:val="28"/>
        </w:rPr>
        <w:t xml:space="preserve">про </w:t>
      </w:r>
      <w:proofErr w:type="spellStart"/>
      <w:r w:rsidR="004E0302" w:rsidRPr="00234D9D">
        <w:rPr>
          <w:sz w:val="28"/>
          <w:szCs w:val="28"/>
        </w:rPr>
        <w:t>виконання</w:t>
      </w:r>
      <w:proofErr w:type="spellEnd"/>
      <w:r w:rsidR="004E0302" w:rsidRPr="00234D9D">
        <w:rPr>
          <w:sz w:val="28"/>
          <w:szCs w:val="28"/>
        </w:rPr>
        <w:t xml:space="preserve"> бюджету </w:t>
      </w:r>
    </w:p>
    <w:p w:rsidR="004E0302" w:rsidRDefault="004E0302" w:rsidP="004E030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234D9D">
        <w:rPr>
          <w:sz w:val="28"/>
          <w:szCs w:val="28"/>
        </w:rPr>
        <w:t>Менської</w:t>
      </w:r>
      <w:proofErr w:type="spellEnd"/>
      <w:r w:rsidRPr="00234D9D">
        <w:rPr>
          <w:sz w:val="28"/>
          <w:szCs w:val="28"/>
        </w:rPr>
        <w:t xml:space="preserve"> </w:t>
      </w:r>
      <w:proofErr w:type="spellStart"/>
      <w:r w:rsidRPr="00234D9D">
        <w:rPr>
          <w:sz w:val="28"/>
          <w:szCs w:val="28"/>
        </w:rPr>
        <w:t>міської</w:t>
      </w:r>
      <w:proofErr w:type="spellEnd"/>
      <w:r w:rsidRPr="00234D9D">
        <w:rPr>
          <w:sz w:val="28"/>
          <w:szCs w:val="28"/>
        </w:rPr>
        <w:t xml:space="preserve"> </w:t>
      </w:r>
      <w:proofErr w:type="spellStart"/>
      <w:r w:rsidRPr="00234D9D">
        <w:rPr>
          <w:sz w:val="28"/>
          <w:szCs w:val="28"/>
        </w:rPr>
        <w:t>територіальної</w:t>
      </w:r>
      <w:proofErr w:type="spellEnd"/>
      <w:r w:rsidRPr="00234D9D">
        <w:rPr>
          <w:sz w:val="28"/>
          <w:szCs w:val="28"/>
        </w:rPr>
        <w:t xml:space="preserve"> </w:t>
      </w:r>
      <w:proofErr w:type="spellStart"/>
      <w:r w:rsidRPr="00234D9D"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 xml:space="preserve"> </w:t>
      </w:r>
      <w:r w:rsidRPr="00234D9D">
        <w:rPr>
          <w:sz w:val="28"/>
          <w:szCs w:val="28"/>
        </w:rPr>
        <w:t xml:space="preserve">за 2024 </w:t>
      </w:r>
      <w:r>
        <w:rPr>
          <w:sz w:val="28"/>
          <w:szCs w:val="28"/>
          <w:lang w:val="uk-UA"/>
        </w:rPr>
        <w:t xml:space="preserve">рік </w:t>
      </w:r>
    </w:p>
    <w:p w:rsidR="004E0302" w:rsidRDefault="004E0302" w:rsidP="004E030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питання</w:t>
      </w:r>
    </w:p>
    <w:p w:rsidR="00234D9D" w:rsidRPr="004E0302" w:rsidRDefault="004E0302" w:rsidP="00234D9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 П</w:t>
      </w:r>
      <w:proofErr w:type="spellStart"/>
      <w:r w:rsidR="00234D9D" w:rsidRPr="00234D9D">
        <w:rPr>
          <w:sz w:val="28"/>
          <w:szCs w:val="28"/>
        </w:rPr>
        <w:t>ро</w:t>
      </w:r>
      <w:proofErr w:type="spellEnd"/>
      <w:r w:rsidR="00234D9D" w:rsidRPr="00234D9D">
        <w:rPr>
          <w:sz w:val="28"/>
          <w:szCs w:val="28"/>
        </w:rPr>
        <w:t xml:space="preserve"> </w:t>
      </w:r>
      <w:proofErr w:type="spellStart"/>
      <w:r w:rsidR="00234D9D" w:rsidRPr="00234D9D">
        <w:rPr>
          <w:sz w:val="28"/>
          <w:szCs w:val="28"/>
        </w:rPr>
        <w:t>виконання</w:t>
      </w:r>
      <w:proofErr w:type="spellEnd"/>
      <w:r w:rsidR="00234D9D" w:rsidRPr="00234D9D">
        <w:rPr>
          <w:sz w:val="28"/>
          <w:szCs w:val="28"/>
        </w:rPr>
        <w:t xml:space="preserve"> бюджету </w:t>
      </w:r>
      <w:proofErr w:type="spellStart"/>
      <w:r w:rsidR="00234D9D" w:rsidRPr="00234D9D">
        <w:rPr>
          <w:sz w:val="28"/>
          <w:szCs w:val="28"/>
        </w:rPr>
        <w:t>Менської</w:t>
      </w:r>
      <w:proofErr w:type="spellEnd"/>
      <w:r w:rsidR="00234D9D" w:rsidRPr="00234D9D">
        <w:rPr>
          <w:sz w:val="28"/>
          <w:szCs w:val="28"/>
        </w:rPr>
        <w:t xml:space="preserve"> </w:t>
      </w:r>
      <w:proofErr w:type="spellStart"/>
      <w:r w:rsidR="00234D9D" w:rsidRPr="00234D9D">
        <w:rPr>
          <w:sz w:val="28"/>
          <w:szCs w:val="28"/>
        </w:rPr>
        <w:t>міської</w:t>
      </w:r>
      <w:proofErr w:type="spellEnd"/>
      <w:r w:rsidR="00234D9D" w:rsidRPr="00234D9D">
        <w:rPr>
          <w:sz w:val="28"/>
          <w:szCs w:val="28"/>
        </w:rPr>
        <w:t xml:space="preserve"> </w:t>
      </w:r>
      <w:proofErr w:type="spellStart"/>
      <w:r w:rsidR="00234D9D" w:rsidRPr="00234D9D">
        <w:rPr>
          <w:sz w:val="28"/>
          <w:szCs w:val="28"/>
        </w:rPr>
        <w:t>територіальної</w:t>
      </w:r>
      <w:proofErr w:type="spellEnd"/>
      <w:r w:rsidR="00234D9D" w:rsidRPr="00234D9D">
        <w:rPr>
          <w:sz w:val="28"/>
          <w:szCs w:val="28"/>
        </w:rPr>
        <w:t xml:space="preserve"> </w:t>
      </w:r>
      <w:proofErr w:type="spellStart"/>
      <w:r w:rsidR="00234D9D" w:rsidRPr="00234D9D"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 xml:space="preserve"> </w:t>
      </w:r>
      <w:r w:rsidR="00234D9D" w:rsidRPr="00234D9D">
        <w:rPr>
          <w:sz w:val="28"/>
          <w:szCs w:val="28"/>
        </w:rPr>
        <w:t xml:space="preserve">за 2024 </w:t>
      </w:r>
      <w:proofErr w:type="spellStart"/>
      <w:r w:rsidR="00234D9D" w:rsidRPr="00234D9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</w:p>
    <w:p w:rsidR="00234D9D" w:rsidRPr="00234D9D" w:rsidRDefault="00234D9D" w:rsidP="00234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6EEF" w:rsidRPr="00796EEF" w:rsidRDefault="00796EEF" w:rsidP="0079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Підсумки виконання дохідної частини загального фонду бюджету Менської ТГ за 2024 рік свідчать про те, що план надходжень податків, зборів, платежів (без міжбюджетних трансфертів) виконано на 101,7%, перевиконання становить 3 031,1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(план – 180 884,7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факт – 183 915,8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): </w:t>
      </w:r>
    </w:p>
    <w:p w:rsidR="00796EEF" w:rsidRPr="00796EEF" w:rsidRDefault="00796EEF" w:rsidP="0079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96EE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податкові надходження </w:t>
      </w: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виконані на 101,3 %, перевиконання становить 2263,5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796EEF" w:rsidRPr="00796EEF" w:rsidRDefault="00796EEF" w:rsidP="0079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96EE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неподаткові надходження</w:t>
      </w: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виконані на 113,4 %, перевиконання становить  767,5 тис. грн.</w:t>
      </w:r>
    </w:p>
    <w:p w:rsidR="00796EEF" w:rsidRPr="00796EEF" w:rsidRDefault="00796EEF" w:rsidP="0079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Надходження дотацій та субвенцій складають – 108 206,2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тому числі:</w:t>
      </w:r>
    </w:p>
    <w:p w:rsidR="00796EEF" w:rsidRPr="00796EEF" w:rsidRDefault="00796EEF" w:rsidP="00796E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базова дотація (41020100) – 13 444,7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дотація (41021400) – 16 035,8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субвенція на харчування (41033300) – 500,6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субвенція (41033900) – 74 531,3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субвенція на інклюзивно-ресурсний центр за рахунок освітньої субвенції (41051000) –1 443,6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субвенція на підтримку осіб з особливими освітніми потребами (41051200) – 373,2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субвенція НУШ (41051400) – 1 305,6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субвенції з місцевого бюджету (41053900) – 571,4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них:</w:t>
      </w:r>
    </w:p>
    <w:p w:rsidR="00796EEF" w:rsidRPr="00796EEF" w:rsidRDefault="00796EEF" w:rsidP="00796EEF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утримання об’єкта спільного користування Менського центру ПМСД (з бюджету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Березнянської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ТГ) – 286,47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пільгове медичне обслуговування осіб, які постраждали внаслідок Чорнобильської катастрофи (з обласного бюджету) – 39,77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виборців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обласної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244,59 тис</w:t>
      </w:r>
      <w:proofErr w:type="gram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gram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proofErr w:type="gram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субвенц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для реал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зац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льного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проекту "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йний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педагог=як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сна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та=усп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шна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громада (з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Березнянської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0,3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Коропської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0,3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– 0,57 тис. грн.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Видаткова частина загального фонду бюджету виконана в сумі 281 275,4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складає 98,2 % до планового періоду, а саме на: 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оплату праці працівників бюджетних установ та нарахування на неї – 204 321,3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(72,6% загальної суми видатків);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спожиті енергоносії – 18 994,4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(6,8% загальної суми видатків);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придбання продуктів харчування – 6 274,0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(2,2% загальної суми видатків);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медикаменти – 65,2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(0,02% загальної суми видатків);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інші виплати населенню – 4 758,5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(1,7% загальної суми видатків);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субсидії і поточні трансферти підприємствам – 18 072,7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(6,4% загальної суми видатків);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інші субвенції з місцевого бюджету – 4 316,3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(1,5% загальної суми видатків):</w:t>
      </w:r>
    </w:p>
    <w:p w:rsidR="00796EEF" w:rsidRPr="00796EEF" w:rsidRDefault="00796EEF" w:rsidP="00796EEF">
      <w:pPr>
        <w:numPr>
          <w:ilvl w:val="0"/>
          <w:numId w:val="3"/>
        </w:numPr>
        <w:spacing w:after="0" w:line="240" w:lineRule="auto"/>
        <w:ind w:left="1134"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утримання бригад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Бірківського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Макошинського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пунктів Менської підстанції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Корюківської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станції Е(Ш)МД – 3855,5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3"/>
        </w:numPr>
        <w:spacing w:after="0" w:line="240" w:lineRule="auto"/>
        <w:ind w:left="567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РТЦК та СП – 47,6 тис</w:t>
      </w:r>
      <w:proofErr w:type="gram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EEF" w:rsidRPr="00796EEF" w:rsidRDefault="00796EEF" w:rsidP="00796EEF">
      <w:pPr>
        <w:numPr>
          <w:ilvl w:val="0"/>
          <w:numId w:val="3"/>
        </w:numPr>
        <w:spacing w:after="0" w:line="240" w:lineRule="auto"/>
        <w:ind w:left="567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Менське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відділення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поліції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6,0 тис</w:t>
      </w:r>
      <w:proofErr w:type="gram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EEF" w:rsidRPr="00796EEF" w:rsidRDefault="00796EEF" w:rsidP="00796EEF">
      <w:pPr>
        <w:numPr>
          <w:ilvl w:val="0"/>
          <w:numId w:val="3"/>
        </w:numPr>
        <w:spacing w:after="0" w:line="240" w:lineRule="auto"/>
        <w:ind w:left="567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Прилуки (за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ЗОЗ) – 2,2 тис</w:t>
      </w:r>
      <w:proofErr w:type="gram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3"/>
        </w:numPr>
        <w:spacing w:after="0" w:line="240" w:lineRule="auto"/>
        <w:ind w:left="1134"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сплату збору на обов'язкове пенсійне страхування автомобіля для Менської підстанції КНП "Обласний центр ЕШМД та медичних катастроф" Чернігівської обласної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ради–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155,0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numPr>
          <w:ilvl w:val="0"/>
          <w:numId w:val="3"/>
        </w:numPr>
        <w:spacing w:after="0" w:line="240" w:lineRule="auto"/>
        <w:ind w:left="1134"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10 ДПРЧ (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м.Мена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2 ДПРЗ ГУ ДСНС України в Чернігівській області – 100,0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капітальні трансферти органам державного управління (на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придбання шкільного автобусу для Менської громади) – 341,0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(що складає 0,1% від загальної суми видатків);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інші видатки – 24 132,0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(що складає 8,6% від загальної суми видатків).</w:t>
      </w:r>
    </w:p>
    <w:p w:rsidR="00796EEF" w:rsidRPr="00796EEF" w:rsidRDefault="00796EEF" w:rsidP="00796EEF">
      <w:pPr>
        <w:spacing w:after="0" w:line="240" w:lineRule="auto"/>
        <w:ind w:left="567" w:right="-5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напрямками фінансування кошти розподілені наступним чином: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державне управління – 35354,7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дошкільні навчальні заклади – 31071,9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загальноосвітні заклади – 112695,6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позашкільна освіта – 4657,9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мистецька школа – 5733,4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інші заклади освіти (МНВК, Центр з обслуговування освітніх установ)–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10299,6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центр професійного розвитку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педпрацівників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946,7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ІРЦ – 1518,5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надання підтримки особам з особливими освітніми потребами – 376,3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інші програми по освіті – 473,8 тис. грн.,</w:t>
      </w:r>
    </w:p>
    <w:p w:rsidR="00796EEF" w:rsidRPr="00796EEF" w:rsidRDefault="00796EEF" w:rsidP="00796EEF">
      <w:pPr>
        <w:spacing w:after="0" w:line="240" w:lineRule="auto"/>
        <w:ind w:left="567" w:right="-5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охорона здоров’я – 8228,6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територіальний центр соціального обслуговування – 13095,0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центр соціальних служб для сім’ї, дітей та молоді – 2519,3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пільгове медичне обслуговування чорнобильців – 39,8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виплати фізичним особам, які надають соціальні послуги громадянам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похилого віку – 1594,7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фінансова підтримка ветеранської організації – 13,4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інші заходи у сфері соціального захисту і соціального забезпечення –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3276,0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публічна бібліотека – 5021,1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краєзнавчий музей – 535,0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будинки культури – 11737,7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інші заклади культури (бухгалтерія) – 968,4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інші заходи в галузі культури і мистецтва – 261,3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проведення навчально-тренувальних зборів і змагань з олімпійських видів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спорту – 82,2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проведення навчально-тренувальних зборів і змагань з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неолімпійських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видів спорту – 32,9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навчально-тренувальна робота (ДЮСШ) – 2121,3 тис. грн.,</w:t>
      </w:r>
    </w:p>
    <w:p w:rsidR="00796EEF" w:rsidRPr="00796EEF" w:rsidRDefault="00796EEF" w:rsidP="00796EEF">
      <w:pPr>
        <w:spacing w:after="0" w:line="240" w:lineRule="auto"/>
        <w:ind w:left="567" w:right="-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підтримка спорту вищих досягнень – 25,0 тис. </w:t>
      </w:r>
      <w:proofErr w:type="spellStart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житлово-комунальне господарство – 11575,1 тис. грн.,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економічна діяльність – 2937,7 тис. грн.,</w:t>
      </w:r>
      <w:r w:rsidRPr="00796E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інша діяльність – 9425,2 тис. грн. (в т. ч. місцева пожежна охорона – 3901,7 тис. грн.),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міжбюджетні трансферти – 4657,3 тис. грн.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Підсумки виконання дохідної частини спеціального фонду бюджету Менської ТГ за 2024 рік (без урахування трансфертів) свідчать про те, що надходження виконано в сумі 33321,4 тис. грн. </w:t>
      </w:r>
    </w:p>
    <w:p w:rsidR="00796EEF" w:rsidRPr="00796EEF" w:rsidRDefault="00796EEF" w:rsidP="0079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Надходження субвенцій складають – 5654,5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тому числі:</w:t>
      </w:r>
    </w:p>
    <w:p w:rsidR="00796EEF" w:rsidRPr="00796EEF" w:rsidRDefault="00796EEF" w:rsidP="0079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субвенція на харчування – 1894,5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796EEF" w:rsidRPr="00796EEF" w:rsidRDefault="00796EEF" w:rsidP="0079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субвенція на покращення гарячого харчування – 331,7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796EEF" w:rsidRPr="00796EEF" w:rsidRDefault="00796EEF" w:rsidP="0079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субвенція з залишку коштів освітньої субвенції – 2717,8 тис. грн.,</w:t>
      </w:r>
    </w:p>
    <w:p w:rsidR="00796EEF" w:rsidRPr="00796EEF" w:rsidRDefault="00796EEF" w:rsidP="0079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субвенція на природоохоронні заходи – 682,0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інші субвенції з місцевого бюджету на харчування дітей (41053900) – 28,5 тис. грн.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Видаткова частина спеціального фонду бюджету виконана в сумі 57376,9 тис. грн..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захищені статті видатків спрямовано 4998,6 тис. грн., а саме на:</w:t>
      </w:r>
    </w:p>
    <w:p w:rsidR="00796EEF" w:rsidRPr="00796EEF" w:rsidRDefault="00796EEF" w:rsidP="00796EEF">
      <w:pPr>
        <w:spacing w:after="0" w:line="240" w:lineRule="auto"/>
        <w:ind w:left="567"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оплату праці та нарахування на неї – 303,8 тис. грн.,</w:t>
      </w:r>
    </w:p>
    <w:p w:rsidR="00796EEF" w:rsidRPr="00796EEF" w:rsidRDefault="00796EEF" w:rsidP="00796EEF">
      <w:pPr>
        <w:spacing w:after="0" w:line="240" w:lineRule="auto"/>
        <w:ind w:left="567"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придбання медикаментів – 278,2 тис. грн.,</w:t>
      </w:r>
    </w:p>
    <w:p w:rsidR="00796EEF" w:rsidRPr="00796EEF" w:rsidRDefault="00796EEF" w:rsidP="00796EEF">
      <w:pPr>
        <w:spacing w:after="0" w:line="240" w:lineRule="auto"/>
        <w:ind w:left="567"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придбання продуктів харчування – 1632,0 тис. грн., </w:t>
      </w:r>
    </w:p>
    <w:p w:rsidR="00796EEF" w:rsidRPr="00796EEF" w:rsidRDefault="00796EEF" w:rsidP="00796EEF">
      <w:pPr>
        <w:spacing w:after="0" w:line="240" w:lineRule="auto"/>
        <w:ind w:left="567"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спожиті енергоносії – 93,3 тис. грн.,</w:t>
      </w:r>
    </w:p>
    <w:p w:rsidR="00796EEF" w:rsidRPr="00796EEF" w:rsidRDefault="00796EEF" w:rsidP="00796EEF">
      <w:pPr>
        <w:spacing w:after="0" w:line="240" w:lineRule="auto"/>
        <w:ind w:left="567" w:right="-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капітальні трансферти – 2691,3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тому числі повернення субвенції ККД 41059200 в сумі 2618,9 тис. </w:t>
      </w:r>
      <w:proofErr w:type="spellStart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Передано субвенцію з місцевого бюджету державному бюджету 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РТЦК та СП </w:t>
      </w:r>
      <w:r w:rsidRPr="00796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72,4 тис. грн. 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звітного періоду уточнено залишок коштів, що був на рахунках загального фонду в сумі 16916,2 тис. грн., з яких: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залишок загального фонду – 14778,9 тис. грн.,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субвенція на інклюзивно-ресурсний центр за рахунок освітньої субвенції  – 25,9 тис. грн.,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субвенція на особливі освітні потреби – 3,1 тис. грн., 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власних надходжень – 2108,3 тис. грн..</w:t>
      </w:r>
    </w:p>
    <w:p w:rsidR="00796EEF" w:rsidRPr="00796EEF" w:rsidRDefault="00796EEF" w:rsidP="00796E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звітного періоду уточнено залишок коштів, що був на рахунках спеціального фонду як залишок субвенції на відновлення в сумі 14327,4 тис. грн.</w:t>
      </w:r>
    </w:p>
    <w:p w:rsidR="004E0302" w:rsidRDefault="00796EEF" w:rsidP="00796EE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6EEF">
        <w:rPr>
          <w:sz w:val="28"/>
          <w:szCs w:val="28"/>
          <w:lang w:val="uk-UA"/>
        </w:rPr>
        <w:t>Кошти резервного фонду протягом звітного періоду не використовувались</w:t>
      </w:r>
      <w:r>
        <w:rPr>
          <w:sz w:val="28"/>
          <w:szCs w:val="28"/>
          <w:lang w:val="uk-UA"/>
        </w:rPr>
        <w:t>.</w:t>
      </w:r>
    </w:p>
    <w:p w:rsidR="00796EEF" w:rsidRDefault="00796EEF" w:rsidP="00796E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4D9D" w:rsidRPr="00234D9D" w:rsidRDefault="00234D9D" w:rsidP="00234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4D9D">
        <w:rPr>
          <w:sz w:val="28"/>
          <w:szCs w:val="28"/>
        </w:rPr>
        <w:t xml:space="preserve">Начальник </w:t>
      </w:r>
      <w:proofErr w:type="spellStart"/>
      <w:r w:rsidRPr="00234D9D">
        <w:rPr>
          <w:sz w:val="28"/>
          <w:szCs w:val="28"/>
        </w:rPr>
        <w:t>Фінансового</w:t>
      </w:r>
      <w:proofErr w:type="spellEnd"/>
      <w:r w:rsidRPr="00234D9D">
        <w:rPr>
          <w:sz w:val="28"/>
          <w:szCs w:val="28"/>
        </w:rPr>
        <w:t xml:space="preserve"> </w:t>
      </w:r>
      <w:proofErr w:type="spellStart"/>
      <w:r w:rsidRPr="00234D9D">
        <w:rPr>
          <w:sz w:val="28"/>
          <w:szCs w:val="28"/>
        </w:rPr>
        <w:t>управління</w:t>
      </w:r>
      <w:proofErr w:type="spellEnd"/>
    </w:p>
    <w:p w:rsidR="00234D9D" w:rsidRPr="00234D9D" w:rsidRDefault="00234D9D" w:rsidP="00234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34D9D">
        <w:rPr>
          <w:sz w:val="28"/>
          <w:szCs w:val="28"/>
        </w:rPr>
        <w:t>Менської</w:t>
      </w:r>
      <w:proofErr w:type="spellEnd"/>
      <w:r w:rsidRPr="00234D9D">
        <w:rPr>
          <w:sz w:val="28"/>
          <w:szCs w:val="28"/>
        </w:rPr>
        <w:t xml:space="preserve"> </w:t>
      </w:r>
      <w:proofErr w:type="spellStart"/>
      <w:r w:rsidRPr="00234D9D">
        <w:rPr>
          <w:sz w:val="28"/>
          <w:szCs w:val="28"/>
        </w:rPr>
        <w:t>міської</w:t>
      </w:r>
      <w:proofErr w:type="spellEnd"/>
      <w:r w:rsidRPr="00234D9D">
        <w:rPr>
          <w:sz w:val="28"/>
          <w:szCs w:val="28"/>
        </w:rPr>
        <w:t xml:space="preserve"> ради</w:t>
      </w:r>
      <w:r w:rsidR="004E0302">
        <w:rPr>
          <w:sz w:val="28"/>
          <w:szCs w:val="28"/>
        </w:rPr>
        <w:tab/>
      </w:r>
      <w:r w:rsidR="004E0302">
        <w:rPr>
          <w:sz w:val="28"/>
          <w:szCs w:val="28"/>
        </w:rPr>
        <w:tab/>
      </w:r>
      <w:r w:rsidR="004E0302">
        <w:rPr>
          <w:sz w:val="28"/>
          <w:szCs w:val="28"/>
        </w:rPr>
        <w:tab/>
      </w:r>
      <w:r w:rsidR="004E0302">
        <w:rPr>
          <w:sz w:val="28"/>
          <w:szCs w:val="28"/>
        </w:rPr>
        <w:tab/>
      </w:r>
      <w:r w:rsidR="004E0302">
        <w:rPr>
          <w:sz w:val="28"/>
          <w:szCs w:val="28"/>
        </w:rPr>
        <w:tab/>
      </w:r>
      <w:r w:rsidR="004E0302">
        <w:rPr>
          <w:sz w:val="28"/>
          <w:szCs w:val="28"/>
        </w:rPr>
        <w:tab/>
      </w:r>
      <w:r w:rsidR="004E0302">
        <w:rPr>
          <w:sz w:val="28"/>
          <w:szCs w:val="28"/>
        </w:rPr>
        <w:tab/>
      </w:r>
      <w:r w:rsidRPr="00234D9D">
        <w:rPr>
          <w:sz w:val="28"/>
          <w:szCs w:val="28"/>
        </w:rPr>
        <w:t>Алла НЕРОСЛИК</w:t>
      </w:r>
    </w:p>
    <w:p w:rsidR="007C1E08" w:rsidRPr="00234D9D" w:rsidRDefault="007C1E08" w:rsidP="00234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E08" w:rsidRPr="00234D9D" w:rsidSect="00796EE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EF" w:rsidRDefault="00796EEF" w:rsidP="00796EEF">
      <w:pPr>
        <w:spacing w:after="0" w:line="240" w:lineRule="auto"/>
      </w:pPr>
      <w:r>
        <w:separator/>
      </w:r>
    </w:p>
  </w:endnote>
  <w:endnote w:type="continuationSeparator" w:id="0">
    <w:p w:rsidR="00796EEF" w:rsidRDefault="00796EEF" w:rsidP="0079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EF" w:rsidRDefault="00796EEF" w:rsidP="00796EEF">
      <w:pPr>
        <w:spacing w:after="0" w:line="240" w:lineRule="auto"/>
      </w:pPr>
      <w:r>
        <w:separator/>
      </w:r>
    </w:p>
  </w:footnote>
  <w:footnote w:type="continuationSeparator" w:id="0">
    <w:p w:rsidR="00796EEF" w:rsidRDefault="00796EEF" w:rsidP="0079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1113919"/>
      <w:docPartObj>
        <w:docPartGallery w:val="Page Numbers (Top of Page)"/>
        <w:docPartUnique/>
      </w:docPartObj>
    </w:sdtPr>
    <w:sdtContent>
      <w:p w:rsidR="00796EEF" w:rsidRPr="00796EEF" w:rsidRDefault="00796EEF">
        <w:pPr>
          <w:pStyle w:val="a7"/>
          <w:jc w:val="center"/>
          <w:rPr>
            <w:rFonts w:ascii="Times New Roman" w:hAnsi="Times New Roman" w:cs="Times New Roman"/>
          </w:rPr>
        </w:pPr>
        <w:r w:rsidRPr="00796EEF">
          <w:rPr>
            <w:rFonts w:ascii="Times New Roman" w:hAnsi="Times New Roman" w:cs="Times New Roman"/>
            <w:lang w:val="uk-UA"/>
          </w:rPr>
          <w:t xml:space="preserve">                                       </w:t>
        </w:r>
        <w:r w:rsidRPr="00796EEF">
          <w:rPr>
            <w:rFonts w:ascii="Times New Roman" w:hAnsi="Times New Roman" w:cs="Times New Roman"/>
          </w:rPr>
          <w:fldChar w:fldCharType="begin"/>
        </w:r>
        <w:r w:rsidRPr="00796EEF">
          <w:rPr>
            <w:rFonts w:ascii="Times New Roman" w:hAnsi="Times New Roman" w:cs="Times New Roman"/>
          </w:rPr>
          <w:instrText>PAGE   \* MERGEFORMAT</w:instrText>
        </w:r>
        <w:r w:rsidRPr="00796EEF">
          <w:rPr>
            <w:rFonts w:ascii="Times New Roman" w:hAnsi="Times New Roman" w:cs="Times New Roman"/>
          </w:rPr>
          <w:fldChar w:fldCharType="separate"/>
        </w:r>
        <w:r w:rsidR="009C62C8">
          <w:rPr>
            <w:rFonts w:ascii="Times New Roman" w:hAnsi="Times New Roman" w:cs="Times New Roman"/>
            <w:noProof/>
          </w:rPr>
          <w:t>4</w:t>
        </w:r>
        <w:r w:rsidRPr="00796EEF">
          <w:rPr>
            <w:rFonts w:ascii="Times New Roman" w:hAnsi="Times New Roman" w:cs="Times New Roman"/>
          </w:rPr>
          <w:fldChar w:fldCharType="end"/>
        </w:r>
        <w:r w:rsidRPr="00796EEF">
          <w:rPr>
            <w:rFonts w:ascii="Times New Roman" w:hAnsi="Times New Roman" w:cs="Times New Roman"/>
            <w:lang w:val="uk-UA"/>
          </w:rPr>
          <w:t xml:space="preserve">         продовження додатка</w:t>
        </w:r>
      </w:p>
    </w:sdtContent>
  </w:sdt>
  <w:p w:rsidR="00796EEF" w:rsidRDefault="00796E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E97"/>
    <w:multiLevelType w:val="hybridMultilevel"/>
    <w:tmpl w:val="DC1CDD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0393D29"/>
    <w:multiLevelType w:val="hybridMultilevel"/>
    <w:tmpl w:val="0A1E81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7167C"/>
    <w:multiLevelType w:val="hybridMultilevel"/>
    <w:tmpl w:val="A43E4D78"/>
    <w:lvl w:ilvl="0" w:tplc="406828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9D"/>
    <w:rsid w:val="00014C05"/>
    <w:rsid w:val="00234D9D"/>
    <w:rsid w:val="004E0302"/>
    <w:rsid w:val="00796EEF"/>
    <w:rsid w:val="007C1E08"/>
    <w:rsid w:val="009C62C8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96EE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6E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aliases w:val="Номер таблиці Знак"/>
    <w:locked/>
    <w:rsid w:val="00796EEF"/>
    <w:rPr>
      <w:sz w:val="28"/>
      <w:szCs w:val="28"/>
      <w:lang w:val="uk-UA"/>
    </w:rPr>
  </w:style>
  <w:style w:type="paragraph" w:styleId="a7">
    <w:name w:val="header"/>
    <w:basedOn w:val="a"/>
    <w:link w:val="a8"/>
    <w:uiPriority w:val="99"/>
    <w:unhideWhenUsed/>
    <w:rsid w:val="00796E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6EEF"/>
  </w:style>
  <w:style w:type="paragraph" w:styleId="a9">
    <w:name w:val="footer"/>
    <w:basedOn w:val="a"/>
    <w:link w:val="aa"/>
    <w:uiPriority w:val="99"/>
    <w:unhideWhenUsed/>
    <w:rsid w:val="00796E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6EEF"/>
  </w:style>
  <w:style w:type="paragraph" w:styleId="ab">
    <w:name w:val="Balloon Text"/>
    <w:basedOn w:val="a"/>
    <w:link w:val="ac"/>
    <w:uiPriority w:val="99"/>
    <w:semiHidden/>
    <w:unhideWhenUsed/>
    <w:rsid w:val="009C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6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96EE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6E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aliases w:val="Номер таблиці Знак"/>
    <w:locked/>
    <w:rsid w:val="00796EEF"/>
    <w:rPr>
      <w:sz w:val="28"/>
      <w:szCs w:val="28"/>
      <w:lang w:val="uk-UA"/>
    </w:rPr>
  </w:style>
  <w:style w:type="paragraph" w:styleId="a7">
    <w:name w:val="header"/>
    <w:basedOn w:val="a"/>
    <w:link w:val="a8"/>
    <w:uiPriority w:val="99"/>
    <w:unhideWhenUsed/>
    <w:rsid w:val="00796E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6EEF"/>
  </w:style>
  <w:style w:type="paragraph" w:styleId="a9">
    <w:name w:val="footer"/>
    <w:basedOn w:val="a"/>
    <w:link w:val="aa"/>
    <w:uiPriority w:val="99"/>
    <w:unhideWhenUsed/>
    <w:rsid w:val="00796E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6EEF"/>
  </w:style>
  <w:style w:type="paragraph" w:styleId="ab">
    <w:name w:val="Balloon Text"/>
    <w:basedOn w:val="a"/>
    <w:link w:val="ac"/>
    <w:uiPriority w:val="99"/>
    <w:semiHidden/>
    <w:unhideWhenUsed/>
    <w:rsid w:val="009C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6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4665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LOStarodub</cp:lastModifiedBy>
  <cp:revision>5</cp:revision>
  <cp:lastPrinted>2025-03-02T15:12:00Z</cp:lastPrinted>
  <dcterms:created xsi:type="dcterms:W3CDTF">2025-02-21T09:12:00Z</dcterms:created>
  <dcterms:modified xsi:type="dcterms:W3CDTF">2025-03-02T15:14:00Z</dcterms:modified>
</cp:coreProperties>
</file>