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МЕНСЬКА МІСЬКА РАДА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(п’ят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десят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сьма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пленарного засідання Менської міської ради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 лютого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 Мена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сесійна зала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suppressLineNumbers w:val="false"/>
        <w:pBdr/>
        <w:spacing w:after="0" w:afterAutospacing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міські</w:t>
      </w:r>
      <w:r>
        <w:rPr>
          <w:rFonts w:ascii="Times New Roman" w:hAnsi="Times New Roman" w:cs="Times New Roman"/>
          <w:sz w:val="28"/>
          <w:szCs w:val="28"/>
        </w:rPr>
        <w:t xml:space="preserve">й раді встановлено 26 депутатських мандатів, обрано 26 депутатів.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false"/>
        <w:pBdr/>
        <w:spacing w:after="0" w:afterAutospacing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сесії зареєстровано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депутатів, присутні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депутатів,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депутатів.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false"/>
        <w:pBdr/>
        <w:spacing w:after="0" w:afterAutospacing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дповідно до ст. ст. 42, 50 Закону України «Про місцеве самоврядування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Україні» 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відбувається під головуванням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секретаря ради Юрія СТАЛЬНИЧЕНКА, оскільки міський голова Геннадій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ПРИМАКОВ увільнений у зв’язку з мобілізацією.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uppressLineNumbers w:val="false"/>
        <w:pBdr/>
        <w:spacing w:after="0" w:afterAutospacing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ст. 5, 6 Регламенту Менської міської ради 8 скликання Сесії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проводяться гласно із забезпеченням права кожного бути присутнім на них, 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випадків передбачених законодавством. Порядок доступу до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визначається радою відповідно </w:t>
      </w:r>
      <w:r>
        <w:rPr>
          <w:rFonts w:ascii="Times New Roman" w:hAnsi="Times New Roman" w:cs="Times New Roman"/>
          <w:sz w:val="28"/>
          <w:szCs w:val="28"/>
        </w:rPr>
        <w:t xml:space="preserve">до закону</w:t>
      </w:r>
      <w:r>
        <w:rPr>
          <w:rFonts w:ascii="Times New Roman" w:hAnsi="Times New Roman" w:cs="Times New Roman"/>
          <w:sz w:val="28"/>
          <w:szCs w:val="28"/>
        </w:rPr>
        <w:t xml:space="preserve"> та цього Регламенту. Представники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засобів масової інформації та журналісти, які бажають бути присутніми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пленарному засіданні сесії, допускаються за умови пред’явлення службового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(журналістського) посвідчення.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false"/>
        <w:pBdr/>
        <w:spacing w:after="0" w:afterAutospacing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</w:t>
      </w:r>
      <w:r>
        <w:rPr>
          <w:rFonts w:ascii="Times New Roman" w:hAnsi="Times New Roman" w:cs="Times New Roman"/>
          <w:sz w:val="28"/>
          <w:szCs w:val="28"/>
        </w:rPr>
        <w:t xml:space="preserve">ий запропонував зайняти визначені місця і відкрив пленарне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-ї сесії Менської міської ради 8 скликання.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ГІМН УКРАЇНИ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ьогодні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виповнюється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років, 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осія розпочала війну проти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країни, окупувавши наші землі. 11 років боротьби, втрат, випробувань, але й незламності.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хиляємо голови перед тими, хто віддав життя за нашу державу, перед тими, хто і зараз боронить нашу свободу.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Україна вистояла, бо ми сильні, бо 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єдині, бо наша мета – перемога, і запросив присутніх вшанувати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хвилиною мовчання всіх, хто поклав життя за незалежність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(хвилина мовчання)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повідомив депутатів, що згідно ст. 46 п.4 Закону України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місцеве самоврядування в Україні» та ст.19, 20 Регламенту Менської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сьогодні проводиться 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-ї сесії Менської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8 скликання. </w:t>
      </w:r>
      <w:r>
        <w:rPr>
          <w:rFonts w:ascii="Times New Roman" w:hAnsi="Times New Roman" w:cs="Times New Roman"/>
          <w:sz w:val="28"/>
          <w:szCs w:val="28"/>
        </w:rPr>
        <w:t xml:space="preserve">Пропонується прийняти за основу порядок </w:t>
      </w:r>
      <w:r>
        <w:rPr>
          <w:rFonts w:ascii="Times New Roman" w:hAnsi="Times New Roman" w:cs="Times New Roman"/>
          <w:sz w:val="28"/>
          <w:szCs w:val="28"/>
        </w:rPr>
        <w:t xml:space="preserve">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пленарного</w:t>
      </w:r>
      <w:r>
        <w:rPr>
          <w:rFonts w:ascii="Times New Roman" w:hAnsi="Times New Roman" w:cs="Times New Roman"/>
          <w:sz w:val="28"/>
          <w:szCs w:val="28"/>
        </w:rPr>
        <w:t xml:space="preserve">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-ї сесії Менської міської ради 8 скликання,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погодження змін до Меморандуму про співпрацю та Плану спільної діяльності в рамках реалізації швейцарсько-українського проєкту міжнародної технічної допомоги DECIDE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участь у експериментальному проєкті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Пліч-о-пліч: Згуртовані громади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та затвердження меморандуму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71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коригування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інших споживачів (крім населення)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звіт наглядової ради Комунального некомерційного підприємства «Менський центр первинної медико-санітарної допомоги»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звіт 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некомерційного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підприємства«</w:t>
      </w:r>
      <w:r>
        <w:rPr>
          <w:rFonts w:ascii="Times New Roman" w:hAnsi="Times New Roman" w:cs="Times New Roman"/>
          <w:sz w:val="28"/>
          <w:szCs w:val="28"/>
        </w:rPr>
        <w:t xml:space="preserve">Менський центр первинної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структури апарату Менської міської ради та її виконавчих органів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Програми підвищення обороноздатності та безпеки населених пунктів Менської міської територіальної громади в умовах  на 2025 рік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Програми розвитку цивільного захисту Менської міської територіальної громади на 2025-2027 роки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бюджету Менської міської територіальної громади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Програми організації харчування дітей в закладах загальної середньої освіти Менської міської ради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Положення про Почесну грамоту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вшанування громадян Менської міської територіальної громади Почесними відзнаками Менської міської ради на 2022-2024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утворення інклюзивної групи у Менському закладі дошкільної освіти (яслах-садку) «Сонечко»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зміну місцезнаходження Комунального закладу позашкільної освіти Менської дитячо-юнацької спортивної школи Менської міської ради ради та затвердження Статуту (у новій редакції)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структури КУ «Менський територіальний центр </w:t>
      </w:r>
      <w:r>
        <w:rPr>
          <w:rFonts w:ascii="Times New Roman" w:hAnsi="Times New Roman" w:cs="Times New Roman"/>
          <w:sz w:val="28"/>
          <w:szCs w:val="28"/>
        </w:rPr>
        <w:t xml:space="preserve">НСП» в</w:t>
      </w:r>
      <w:r>
        <w:rPr>
          <w:rFonts w:ascii="Times New Roman" w:hAnsi="Times New Roman" w:cs="Times New Roman"/>
          <w:sz w:val="28"/>
          <w:szCs w:val="28"/>
        </w:rPr>
        <w:t xml:space="preserve">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розвитку позашкільної освіти </w:t>
      </w:r>
      <w:r>
        <w:rPr>
          <w:rFonts w:ascii="Times New Roman" w:hAnsi="Times New Roman" w:cs="Times New Roman"/>
          <w:sz w:val="28"/>
          <w:szCs w:val="28"/>
        </w:rPr>
        <w:t xml:space="preserve">на 2022</w:t>
      </w:r>
      <w:r>
        <w:rPr>
          <w:rFonts w:ascii="Times New Roman" w:hAnsi="Times New Roman" w:cs="Times New Roman"/>
          <w:sz w:val="28"/>
          <w:szCs w:val="28"/>
        </w:rPr>
        <w:t xml:space="preserve">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надання одноразової допомоги дітям-сиротам і дітям, позбавленим батьківського піклування, після досягнення 18-річного віку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організації харчування дітей </w:t>
      </w:r>
      <w:r>
        <w:rPr>
          <w:rFonts w:ascii="Times New Roman" w:hAnsi="Times New Roman" w:cs="Times New Roman"/>
          <w:sz w:val="28"/>
          <w:szCs w:val="28"/>
        </w:rPr>
        <w:t xml:space="preserve">у закладах</w:t>
      </w:r>
      <w:r>
        <w:rPr>
          <w:rFonts w:ascii="Times New Roman" w:hAnsi="Times New Roman" w:cs="Times New Roman"/>
          <w:sz w:val="28"/>
          <w:szCs w:val="28"/>
        </w:rPr>
        <w:t xml:space="preserve"> загальної середньої освіти Менської міської ради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національно-патріотичного виховання на 2022 – 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оздоровлення та літнього відпочинку дітей «Різнобарвне літо»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підтримки та розвитку обдарованої учнівської молоді та творчих </w:t>
      </w:r>
      <w:r>
        <w:rPr>
          <w:rFonts w:ascii="Times New Roman" w:hAnsi="Times New Roman" w:cs="Times New Roman"/>
          <w:sz w:val="28"/>
          <w:szCs w:val="28"/>
        </w:rPr>
        <w:t xml:space="preserve">педагогів на</w:t>
      </w:r>
      <w:r>
        <w:rPr>
          <w:rFonts w:ascii="Times New Roman" w:hAnsi="Times New Roman" w:cs="Times New Roman"/>
          <w:sz w:val="28"/>
          <w:szCs w:val="28"/>
        </w:rPr>
        <w:t xml:space="preserve"> 2022 – 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організації харчування дітей в закладах дошкільної освіти Менської міської ради на 2022-2024 роки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підтримки та розвитку дитячих творчих колективів закладів культури Менської міської ради на 2022-2024 роки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культурно-мистецьких заходів на 2022-2024 роки в новій редакції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розвитку культури Менської міської територіальної громади на 2022-2024 роки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 xml:space="preserve">виконання програми</w:t>
      </w:r>
      <w:r>
        <w:rPr>
          <w:rFonts w:ascii="Times New Roman" w:hAnsi="Times New Roman" w:cs="Times New Roman"/>
          <w:sz w:val="28"/>
          <w:szCs w:val="28"/>
        </w:rPr>
        <w:t xml:space="preserve"> «Турбота про літніх людей»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тарифів на платні послуги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Киселівському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Блистівському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Синявському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в оперативне управління Комунальному закладу позашкільної освіти «Менська дитячо-юнацька спортивна школа» Менської міської ради нерухомого майна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Волосківській гімназії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Феськівській гімназії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Покровському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</w:t>
      </w:r>
      <w:r>
        <w:rPr>
          <w:rFonts w:ascii="Times New Roman" w:hAnsi="Times New Roman" w:cs="Times New Roman"/>
          <w:sz w:val="28"/>
          <w:szCs w:val="28"/>
        </w:rPr>
        <w:t xml:space="preserve">нальну власність Менської міської територіальної громади товарно-матеріальних цінностей з подальшою передачею в оперативне управління та на баланс Менському опорному закладу загальної середньої освіти І-ІІІ ступенів ім. Т. Г. Шевченка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майна в комунальну власність Менської міської територіальної громади та передачу його в оперативне управління і на баланс Відділу соціального захисту населення та охорони здоров'я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перейменування провулку Григорія Кочура в місті Мена Чернігівської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56 сесії Менської міської ради 8 скликання від 19 грудня 2024 року № 750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Статуту Комунального некомерційного підприємства «Менський центр первинної медико-санітарної допомоги» Менської міської ради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зменшення орендної ставки АТ «ОТКЕ»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визначення видів безоплатних суспільно корисних робіт та об’єктів, на яких неповнолітні засуджені будуть відбувати покарання у виді громадських робіт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визначення переліку об'єктів та видів оплачуваних робіт, на яких неповнолітні правопорушники зможуть виконувати стягнення </w:t>
      </w:r>
      <w:r>
        <w:rPr>
          <w:rFonts w:ascii="Times New Roman" w:hAnsi="Times New Roman" w:cs="Times New Roman"/>
          <w:sz w:val="28"/>
          <w:szCs w:val="28"/>
        </w:rPr>
        <w:t xml:space="preserve">у виді суспільно корисних робіт.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визначення видів безоплатних суспільно корисних робіт та об’єктів, на яких неповнолітні порушники будуть відбувати стягнення у виді громадських робіт на території населених пунктів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майна в комунальну власність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базової мережі закладів культури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розгляд звернення філії «Північний лісовий </w:t>
      </w:r>
      <w:r>
        <w:rPr>
          <w:rFonts w:ascii="Times New Roman" w:hAnsi="Times New Roman" w:cs="Times New Roman"/>
          <w:sz w:val="28"/>
          <w:szCs w:val="28"/>
        </w:rPr>
        <w:t xml:space="preserve">офіс» ДП</w:t>
      </w:r>
      <w:r>
        <w:rPr>
          <w:rFonts w:ascii="Times New Roman" w:hAnsi="Times New Roman" w:cs="Times New Roman"/>
          <w:sz w:val="28"/>
          <w:szCs w:val="28"/>
        </w:rPr>
        <w:t xml:space="preserve"> «Ліси України»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ТОВ 'ГАРДЕНФИЛД' на виготовлення технічної документації із землеустрою щодо встановлення (відновлення) меж земельних ділянок (невитребуваних паїв) з подальшою передачею в 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зміну координат земельної ділянки комунальної власності за межами с. Феськівка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з нормативної грошової оцінки земельної ділянки ТОВ «БК ВОЛМАКС»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в орендне користування ТОВ «Мена 2024»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виготовлення технічних документацій із землеустрою щодо інвентаризації земельних ділянок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гр. Ковбасі Ю.В.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дозволів на виготовлення проєктів із землеустрою щодо відведення земельних ділянок на умовах оренди для городництва за межами м. Мена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проведення земельних торгів (аукціону)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укладання договору оренди землі з ТОВ «ДП Зернятко» на новий строк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на виготовлення технічної документацій щодо поділу земельної ділянки гр. Чулкову Ю.О.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в оренду земельних ділянок ФГ «СВІТАНОК ЧЕРНІГІВЩИНИ»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припинення права тимчасового користування ТОВ «Мена-Авангард» невитребуваними земельними ділянками (паями) за межами селища Макошине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припинення права тимчасового користування ТОВ «Мена-Авангард» невитребуваними земельними ділянками (паями) за межами м. Мена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до договору</w:t>
      </w:r>
      <w:r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виготовлення проекту землеустрою щодо відведення земельної ділянки зі зміною цільового призначення ТОВ «Агроресурс-2006»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на виготовлення проекту землеустрою щодо відведення земельної ділянки з метою передачі в оренду ФГ «Погребний»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комунальної власності в державну власність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припинення права тимчасового користування ТОВ «Мена-Авангард» невитребуваними земельними ділянками (паями) за межами с. Дягова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документації із землеустрою та передачу в постійне користування Менському районному дочірньому агролісогосподарському підприємству «Менарайагролісництво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до договору</w:t>
      </w:r>
      <w:r>
        <w:rPr>
          <w:rFonts w:ascii="Times New Roman" w:hAnsi="Times New Roman" w:cs="Times New Roman"/>
          <w:sz w:val="28"/>
          <w:szCs w:val="28"/>
        </w:rPr>
        <w:t xml:space="preserve"> оренди землі на земельну ділянку в м. Мена, вул. Армійська, 1д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Щодо надання дозволу на виготовлення документації із землеустрою з метою передачі в 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зміну загальної чисельності працівників КЗ «Центр культури та дозвілля молоді»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139. 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з балансу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</w:t>
      </w:r>
      <w:r>
        <w:rPr>
          <w:rFonts w:ascii="Times New Roman" w:hAnsi="Times New Roman" w:cs="Times New Roman"/>
          <w:sz w:val="28"/>
          <w:szCs w:val="28"/>
        </w:rPr>
        <w:t xml:space="preserve">ти порядок денний 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основу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  <w:lang w:val="uk-UA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повідомив, що за результатом розгляду питань на засіданні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з питань містобудування, будівництва, земельних відносин та охорони природи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запропоновано виключити з порядку денного і відправити на доопрацювання питання «Про розгляд звернення філії «Північний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лісовий офіс» ДП «Ліси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733"/>
        <w:pBdr/>
        <w:spacing w:after="0" w:afterAutospacing="0" w:before="0" w:line="240" w:lineRule="auto"/>
        <w:ind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Одночасно, для збереження нумерації, перенести останнє питання порядку денного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 передачу комунального майна з балансу Менської міської ради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на місце виключеного питання.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</w:r>
    </w:p>
    <w:p>
      <w:pPr>
        <w:pStyle w:val="733"/>
        <w:pBdr/>
        <w:spacing w:after="0" w:afterAutospacing="0" w:before="0" w:line="240" w:lineRule="auto"/>
        <w:ind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Виключити з порядку денного питання «</w:t>
      </w:r>
      <w:r>
        <w:rPr>
          <w:rFonts w:ascii="Times New Roman" w:hAnsi="Times New Roman" w:cs="Times New Roman"/>
          <w:sz w:val="28"/>
          <w:szCs w:val="28"/>
        </w:rPr>
        <w:t xml:space="preserve">Про розгляд звернення філії «Північний </w:t>
      </w:r>
      <w:r>
        <w:rPr>
          <w:rFonts w:ascii="Times New Roman" w:hAnsi="Times New Roman" w:cs="Times New Roman"/>
          <w:sz w:val="28"/>
          <w:szCs w:val="28"/>
        </w:rPr>
        <w:t xml:space="preserve">лісовий </w:t>
      </w:r>
      <w:r>
        <w:rPr>
          <w:rFonts w:ascii="Times New Roman" w:hAnsi="Times New Roman" w:cs="Times New Roman"/>
          <w:sz w:val="28"/>
          <w:szCs w:val="28"/>
        </w:rPr>
        <w:t xml:space="preserve">офіс» ДП</w:t>
      </w:r>
      <w:r>
        <w:rPr>
          <w:rFonts w:ascii="Times New Roman" w:hAnsi="Times New Roman" w:cs="Times New Roman"/>
          <w:sz w:val="28"/>
          <w:szCs w:val="28"/>
        </w:rPr>
        <w:t xml:space="preserve"> «Ліси України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перенести питання 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з балансу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місце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виключеного.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проєкт порядку денного з внесеними змінами, а саме: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погодження змін до Меморандуму про співпрацю та Плану спільної діяльності в рамках реалізації швейцарсько-українського проєкту міжнародної технічної допомоги DECIDE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участь у експериментальному проєкті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Пліч-о-пліч: Згуртовані громади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та затвердження меморандуму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коригування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інших споживачів (крім населення)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звіт наглядової ради Комунального некомерційного підприємства «Менський центр первинної медико-санітарної допомоги»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звіт 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некомерційного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підприємства«</w:t>
      </w:r>
      <w:r>
        <w:rPr>
          <w:rFonts w:ascii="Times New Roman" w:hAnsi="Times New Roman" w:cs="Times New Roman"/>
          <w:sz w:val="28"/>
          <w:szCs w:val="28"/>
        </w:rPr>
        <w:t xml:space="preserve">Менський центр первинної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структури апарату Менської міської ради та її виконавчих органів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Програми підвищення обороноздатності та безпеки населених пунктів Менської міської територіальної громади в умовах  на 2025 рік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Програми розвитку цивільного захисту Менської міської територіальної громади на 2025-2027 роки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бюджету Менської міської територіальної громади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Програми організації харчування дітей в закладах загальної середньої освіти Менської міської ради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Положення про Почесну грамоту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вшанування громадян Менської міської територіальної громади Почесними відзнаками Менської міської ради на 2022-2024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утворення інклюзивної групи у Менському закладі дошкільної освіти (яслах-садку) «Сонечко»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зміну місцезнаходження Комунального закладу позашкільної освіти Менської дитячо-юнацької спортивної школи Менської міської ради ради та затвердження Статуту (у новій редакції)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структури КУ «Менський територіальний центр </w:t>
      </w:r>
      <w:r>
        <w:rPr>
          <w:rFonts w:ascii="Times New Roman" w:hAnsi="Times New Roman" w:cs="Times New Roman"/>
          <w:sz w:val="28"/>
          <w:szCs w:val="28"/>
        </w:rPr>
        <w:t xml:space="preserve">НСП» в</w:t>
      </w:r>
      <w:r>
        <w:rPr>
          <w:rFonts w:ascii="Times New Roman" w:hAnsi="Times New Roman" w:cs="Times New Roman"/>
          <w:sz w:val="28"/>
          <w:szCs w:val="28"/>
        </w:rPr>
        <w:t xml:space="preserve">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розвитку позашкільної освіти </w:t>
      </w:r>
      <w:r>
        <w:rPr>
          <w:rFonts w:ascii="Times New Roman" w:hAnsi="Times New Roman" w:cs="Times New Roman"/>
          <w:sz w:val="28"/>
          <w:szCs w:val="28"/>
        </w:rPr>
        <w:t xml:space="preserve">на 2022</w:t>
      </w:r>
      <w:r>
        <w:rPr>
          <w:rFonts w:ascii="Times New Roman" w:hAnsi="Times New Roman" w:cs="Times New Roman"/>
          <w:sz w:val="28"/>
          <w:szCs w:val="28"/>
        </w:rPr>
        <w:t xml:space="preserve">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надання одноразової допомоги дітям-сиротам і дітям, позбавленим батьківського піклування, після досягнення 18-річного віку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організації харчування дітей </w:t>
      </w:r>
      <w:r>
        <w:rPr>
          <w:rFonts w:ascii="Times New Roman" w:hAnsi="Times New Roman" w:cs="Times New Roman"/>
          <w:sz w:val="28"/>
          <w:szCs w:val="28"/>
        </w:rPr>
        <w:t xml:space="preserve">у закладах</w:t>
      </w:r>
      <w:r>
        <w:rPr>
          <w:rFonts w:ascii="Times New Roman" w:hAnsi="Times New Roman" w:cs="Times New Roman"/>
          <w:sz w:val="28"/>
          <w:szCs w:val="28"/>
        </w:rPr>
        <w:t xml:space="preserve"> загальної середньої освіти Менської міської ради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національно-патріотичного виховання на 2022 – 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оздоровлення та літнього відпочинку дітей «Різнобарвне літо»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підтримки та розвитку обдарованої учнівської молоді та творчих </w:t>
      </w:r>
      <w:r>
        <w:rPr>
          <w:rFonts w:ascii="Times New Roman" w:hAnsi="Times New Roman" w:cs="Times New Roman"/>
          <w:sz w:val="28"/>
          <w:szCs w:val="28"/>
        </w:rPr>
        <w:t xml:space="preserve">педагогів на</w:t>
      </w:r>
      <w:r>
        <w:rPr>
          <w:rFonts w:ascii="Times New Roman" w:hAnsi="Times New Roman" w:cs="Times New Roman"/>
          <w:sz w:val="28"/>
          <w:szCs w:val="28"/>
        </w:rPr>
        <w:t xml:space="preserve"> 2022 – 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організації харчування дітей в закладах дошкільної освіти Менської міської ради на 2022-2024 роки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підтримки та розвитку дитячих творчих колективів закладів культури Менської міської ради на 2022-2024 роки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культурно-мистецьких заходів на 2022-2024 роки в новій редакції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розвитку культури Менської міської територіальної громади на 2022-2024 роки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 xml:space="preserve">виконання програми</w:t>
      </w:r>
      <w:r>
        <w:rPr>
          <w:rFonts w:ascii="Times New Roman" w:hAnsi="Times New Roman" w:cs="Times New Roman"/>
          <w:sz w:val="28"/>
          <w:szCs w:val="28"/>
        </w:rPr>
        <w:t xml:space="preserve"> «Турбота про літніх людей»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тарифів на платні послуги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Киселівському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Блистівському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Синявському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в оперативне управління Комунальному закладу позашкільної освіти «Менська дитячо-юнацька спортивна школа» Менської міської ради нерухомого майна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Волосківській гімназії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Феськівській гімназії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комунальну власність Менської міської територіальної громади товарно-матеріальних цінностей з подальшою </w:t>
      </w:r>
      <w:r>
        <w:rPr>
          <w:rFonts w:ascii="Times New Roman" w:hAnsi="Times New Roman" w:cs="Times New Roman"/>
          <w:sz w:val="28"/>
          <w:szCs w:val="28"/>
        </w:rPr>
        <w:t xml:space="preserve">передачею в оперативне управління та на баланс Покровському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в кому</w:t>
      </w:r>
      <w:r>
        <w:rPr>
          <w:rFonts w:ascii="Times New Roman" w:hAnsi="Times New Roman" w:cs="Times New Roman"/>
          <w:sz w:val="28"/>
          <w:szCs w:val="28"/>
        </w:rPr>
        <w:t xml:space="preserve">нальну власність Менської міської територіальної громади товарно-матеріальних цінностей з подальшою передачею в оперативне управління та на баланс Менському опорному закладу загальної середньої освіти І-ІІІ ступенів ім. Т. Г. Шевченка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майна в комунальну власність Менської міської територіальної громади та передачу його в оперативне управління і на баланс Відділу соціального захисту населення та охорони здоров'я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перейменування провулку Григорія Кочура в місті Мена Чернігівської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56 сесії Менської міської ради 8 скликання від 19 грудня 2024 року № 750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Статуту Комунального некомерційного підприємства «Менський центр первинної медико-санітарної допомоги» Менської міської ради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зменшення орендної ставки АТ «ОТКЕ»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визначення видів безоплатних суспільно корисних робіт та об’єктів, на яких неповнолітні засуджені будуть відбувати покарання у виді громадських робіт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визначення переліку об'єктів та видів оплачуваних робіт, на яких неповнолітні правопорушники зможуть виконувати стягнення </w:t>
      </w:r>
      <w:r>
        <w:rPr>
          <w:rFonts w:ascii="Times New Roman" w:hAnsi="Times New Roman" w:cs="Times New Roman"/>
          <w:sz w:val="28"/>
          <w:szCs w:val="28"/>
        </w:rPr>
        <w:t xml:space="preserve">у виді суспільно корисних робіт.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визначення видів безоплатних суспільно корисних робіт та об’єктів, на яких неповнолітні порушники будуть відбувати стягнення у виді громадських робіт на території населених пунктів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майна в комунальну власність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базової мережі закладів культури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з балансу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ТОВ 'ГАРДЕНФИЛД' на виготовлення технічної документації із землеустрою щодо встановлення (відновлення) меж земельних ділянок (невитребуваних паїв) з подальшою передачею в 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зміну координат земельної ділянки комунальної власності за межами с. Феськівка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з нормативної грошової оцінки земельної ділянки ТОВ «БК ВОЛМАКС»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в орендне користування ТОВ «Мена 2024»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виготовлення технічних документацій із землеустрою щодо інвентаризації земельних ділянок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гр. Ковбасі Ю.В.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дозволів на виготовлення проєктів із землеустрою щодо відведення земельних ділянок на умовах оренди для городництва за межами м. Мена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проведення земельних торгів (аукціону)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укладання договору оренди землі з ТОВ «ДП Зернятко» на новий строк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на виготовлення технічної документацій щодо поділу земельної ділянки гр. Чулкову Ю.О.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в оренду земельних ділянок ФГ «СВІТАНОК ЧЕРНІГІВЩИНИ»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припинення права тимчасового користування ТОВ «Мена-Авангард» невитребуваними земельними ділянками (паями) за межами селища Макошине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припинення права тимчасового користування ТОВ «Мена-Авангард» невитребуваними земельними ділянками (паями) за межами м. Мена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до договору</w:t>
      </w:r>
      <w:r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виготовлення проекту землеустрою щодо відведення земельної ділянки зі зміною цільового призначення ТОВ «Агроресурс-2006»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на виготовлення проекту землеустрою щодо відведення земельної ділянки з метою передачі в оренду ФГ «Погребний»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комунальної власності в державну власність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припинення права тимчасового користування ТОВ «Мена-Авангард» невитребуваними земельними ділянками (паями) за межами с. Дягова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документації із землеустрою та передачу в постійне користування Менському районному дочірньому агролісогосподарському підприємству «Менарайагролісництво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до договору</w:t>
      </w:r>
      <w:r>
        <w:rPr>
          <w:rFonts w:ascii="Times New Roman" w:hAnsi="Times New Roman" w:cs="Times New Roman"/>
          <w:sz w:val="28"/>
          <w:szCs w:val="28"/>
        </w:rPr>
        <w:t xml:space="preserve"> оренди землі на земельну ділянку в м. Мена, вул. Армійська, 1д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Щодо надання дозволу на виготовлення документації із землеустрою з метою передачі в 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зміну загальної чисельності працівників КЗ «Центр культури та дозвілля молоді»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3"/>
        <w:pBdr/>
        <w:spacing w:after="0" w:afterAutospacing="0" w:before="0" w:line="240" w:lineRule="auto"/>
        <w:ind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Прийняти порядок денний пленарного засідання сесії з внесеними змінами.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  <w:lang w:val="uk-UA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звернувся до депутатів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затвердити такий порядок роботи сесії: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доповіді – до 20 хвилин, співдоповіді і заключного слова – до 10 хвилин.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Виступаючим в обговоренні, для повторних виступів при обговоренні,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виступів за процедурою скороченого обговорення, для виступів з інформацією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питань порядку денного, для заяв, внесення запитів, резолюцій, надається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тривалістю до 3 хвилин, для виступів щодо кандидатур, процедури та з мотивів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голосування, пояснень, зауважень, запитань, пропозицій, повідомлень і довідок,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внесення поправок, а також виступів в «Різному» - до 2 хвилин. Кожні 2 години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роботи сесії робити перерву 15 хвилин.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Голосування проводити за допомогою електронної системи голосування.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затвердження вищеназваного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роботи пленарного засідання.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порядок роботи сесії.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оголосив про перехід до розгляду питань порядку денного.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69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погодження змін до Меморандуму про співпрацю та Плану спільної діяльності в рамках реалізації швейцарсько-українського проєкту міжнародної технічної допомоги DECIDE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комісії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здоров’я, соціального захисту населення, освіти, культури, молоді, фізкультури і спорту.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жаючи, що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уважень, доповнень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69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погодження змін до Меморандуму про співпрацю та Плану спільної діяльності в рамках реалізації швейцарсько-українського проєкту міжнародної технічної допомоги DECIDE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участь у експериментальному проєкті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Пліч-о-пліч: Згуртовані громади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та затвердження меморандуму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908"/>
        <w:pBdr/>
        <w:spacing w:after="0" w:afterAutospacing="0" w:before="0" w:beforeAutospacing="0" w:line="240" w:lineRule="auto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Стальниченка Ю.В.</w:t>
      </w:r>
      <w:r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участь </w:t>
      </w:r>
      <w:r>
        <w:rPr>
          <w:sz w:val="28"/>
          <w:szCs w:val="28"/>
          <w:lang w:val="uk-UA"/>
        </w:rPr>
        <w:t xml:space="preserve">Менської міської територіальної громади в</w:t>
      </w:r>
      <w:r>
        <w:rPr>
          <w:sz w:val="28"/>
          <w:szCs w:val="28"/>
          <w:lang w:val="uk-UA"/>
        </w:rPr>
        <w:t xml:space="preserve"> експериментальному проєкті </w:t>
      </w:r>
      <w:r>
        <w:rPr>
          <w:sz w:val="28"/>
          <w:szCs w:val="28"/>
          <w:lang w:val="uk-UA"/>
        </w:rPr>
        <w:t xml:space="preserve">«</w:t>
      </w:r>
      <w:r>
        <w:rPr>
          <w:sz w:val="28"/>
          <w:szCs w:val="28"/>
          <w:lang w:val="uk-UA"/>
        </w:rPr>
        <w:t xml:space="preserve">Пліч-о-пліч: Згуртовані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громади</w:t>
      </w:r>
      <w:r>
        <w:rPr>
          <w:sz w:val="28"/>
          <w:szCs w:val="28"/>
          <w:lang w:val="uk-UA"/>
        </w:rPr>
        <w:t xml:space="preserve">»</w:t>
      </w:r>
      <w:r>
        <w:rPr>
          <w:sz w:val="28"/>
          <w:szCs w:val="28"/>
          <w:lang w:val="uk-UA"/>
        </w:rPr>
        <w:t xml:space="preserve"> із сприяння налагодженню системної взаємодії між територіальними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громадами задля зміцнення єдності та стійкості у подоланні наслідків збройної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агресії російської федерації проти України.</w:t>
      </w:r>
      <w:r>
        <w:rPr>
          <w:sz w:val="28"/>
          <w:szCs w:val="28"/>
          <w:lang w:val="uk-UA"/>
        </w:rPr>
        <w:t xml:space="preserve"> Юрій Валерійович зазначив, що 10 лютого 2025 року був підписаний Меморандум про співробітництво у формі партнерства між Тлумацькою міською радою Івано-Франківської облас</w:t>
      </w:r>
      <w:r>
        <w:rPr>
          <w:sz w:val="28"/>
          <w:szCs w:val="28"/>
          <w:lang w:val="uk-UA"/>
        </w:rPr>
        <w:t xml:space="preserve">ті та Менською міською радою Чернігівської області. Співробітництво між громадами включає різноманітні напрямки: соціальна, медична та психологічна допомога, ветеранська робота, допомога внутрішньо переміщеним особам, соціалізація, працевлаштування, спорт.</w:t>
      </w:r>
      <w:r>
        <w:rPr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охорони здоров’я, соціального захисту населення, освіти, культури, молоді, фізкультури і спорту.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Зауважень, доповнень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</w:t>
      </w:r>
      <w:r>
        <w:rPr>
          <w:rFonts w:ascii="Times New Roman" w:hAnsi="Times New Roman" w:cs="Times New Roman"/>
          <w:sz w:val="28"/>
          <w:szCs w:val="28"/>
        </w:rPr>
        <w:t xml:space="preserve">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участь у експериментальному проєкті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Пліч-о-пліч: Згуртовані громади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та затвердження меморандуму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коригування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інших споживачів (крім населення)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908"/>
        <w:pBdr/>
        <w:spacing w:after="0" w:afterAutospacing="0" w:before="0" w:beforeAutospacing="0" w:line="240" w:lineRule="auto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</w:t>
      </w:r>
      <w:r>
        <w:rPr>
          <w:sz w:val="28"/>
          <w:szCs w:val="28"/>
          <w:lang w:val="uk-UA"/>
        </w:rPr>
        <w:t xml:space="preserve"> повідомив, що д</w:t>
      </w:r>
      <w:r>
        <w:rPr>
          <w:sz w:val="28"/>
          <w:szCs w:val="28"/>
          <w:lang w:val="uk-UA"/>
        </w:rPr>
        <w:t xml:space="preserve">аний проєкт рішення </w:t>
      </w:r>
      <w:r>
        <w:rPr>
          <w:sz w:val="28"/>
          <w:szCs w:val="28"/>
          <w:lang w:val="uk-UA"/>
        </w:rPr>
        <w:t xml:space="preserve">був розглянутий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спільному </w:t>
      </w:r>
      <w:r>
        <w:rPr>
          <w:sz w:val="28"/>
          <w:szCs w:val="28"/>
          <w:lang w:val="uk-UA"/>
        </w:rPr>
        <w:t xml:space="preserve">засіданні п</w:t>
      </w:r>
      <w:r>
        <w:rPr>
          <w:sz w:val="28"/>
          <w:szCs w:val="28"/>
          <w:lang w:val="uk-UA"/>
        </w:rPr>
        <w:t xml:space="preserve">остійн</w:t>
      </w:r>
      <w:r>
        <w:rPr>
          <w:sz w:val="28"/>
          <w:szCs w:val="28"/>
          <w:lang w:val="uk-UA"/>
        </w:rPr>
        <w:t xml:space="preserve">их</w:t>
      </w:r>
      <w:r>
        <w:rPr>
          <w:sz w:val="28"/>
          <w:szCs w:val="28"/>
          <w:lang w:val="uk-UA"/>
        </w:rPr>
        <w:t xml:space="preserve"> депутатськ</w:t>
      </w:r>
      <w:r>
        <w:rPr>
          <w:sz w:val="28"/>
          <w:szCs w:val="28"/>
          <w:lang w:val="uk-UA"/>
        </w:rPr>
        <w:t xml:space="preserve">их</w:t>
      </w:r>
      <w:r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 xml:space="preserve">й:</w:t>
      </w:r>
      <w:r>
        <w:rPr>
          <w:sz w:val="28"/>
          <w:szCs w:val="28"/>
          <w:lang w:val="uk-UA"/>
        </w:rPr>
        <w:t xml:space="preserve"> з питань планування, фінансів, бюджету, соціально-економічного розвитку, житлово-комунального господарства та комунального майна</w:t>
      </w:r>
      <w:r>
        <w:rPr>
          <w:sz w:val="28"/>
          <w:szCs w:val="28"/>
          <w:lang w:val="uk-UA"/>
        </w:rPr>
        <w:t xml:space="preserve"> та з питань регламенту, етики, законності та правопорядку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  <w:t xml:space="preserve"> Депутатам пропонується </w:t>
      </w:r>
      <w:r>
        <w:rPr>
          <w:sz w:val="28"/>
          <w:szCs w:val="28"/>
          <w:lang w:val="uk-UA"/>
        </w:rPr>
        <w:t xml:space="preserve">п</w:t>
      </w:r>
      <w:r>
        <w:rPr>
          <w:sz w:val="28"/>
          <w:szCs w:val="28"/>
        </w:rPr>
        <w:t xml:space="preserve">овернути на повторний розгляд виконавчого комітету Менської міської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ради питання </w:t>
      </w:r>
      <w:r>
        <w:rPr>
          <w:sz w:val="28"/>
          <w:szCs w:val="28"/>
          <w:lang w:val="uk-UA"/>
        </w:rPr>
        <w:t xml:space="preserve">«</w:t>
      </w:r>
      <w:r>
        <w:rPr>
          <w:sz w:val="28"/>
          <w:szCs w:val="28"/>
        </w:rPr>
        <w:t xml:space="preserve">Про коригування тарифів на теплову енергію, її виробництво,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транспортування та постачання, а також надання послуг з постачання теплової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енергії АКЦІОНЕРНОМУ ТОВАРИСТВУ «ОБЛТЕПЛОКОМУНЕНЕРГО» для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потреб інших споживачів (крім населення та бюджетних організацій і установ)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і запросив підтримати даний проєкт рішення.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коригування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інших споживачів (крім населення)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72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звіт наглядової ради Комунального некомерційного підприємства «Менський центр первинної медико-санітарної допомоги»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Зауважень, доповнень не надходило, і</w:t>
      </w:r>
      <w:r>
        <w:rPr>
          <w:rFonts w:ascii="Times New Roman" w:hAnsi="Times New Roman" w:cs="Times New Roman"/>
          <w:sz w:val="28"/>
          <w:szCs w:val="28"/>
        </w:rPr>
        <w:t xml:space="preserve">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звіт наглядової ради Комунального некомерційного підприємства «Менський центр первинної медико-санітарної допомоги»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звіт 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некомерційного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підприємства«</w:t>
      </w:r>
      <w:r>
        <w:rPr>
          <w:rFonts w:ascii="Times New Roman" w:hAnsi="Times New Roman" w:cs="Times New Roman"/>
          <w:sz w:val="28"/>
          <w:szCs w:val="28"/>
        </w:rPr>
        <w:t xml:space="preserve">Менський центр первинної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спорту. Зауважень, доповнень не надходило, і</w:t>
      </w:r>
      <w:r>
        <w:rPr>
          <w:rFonts w:ascii="Times New Roman" w:hAnsi="Times New Roman" w:cs="Times New Roman"/>
          <w:sz w:val="28"/>
          <w:szCs w:val="28"/>
        </w:rPr>
        <w:t xml:space="preserve">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звіт 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некомерційного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підприємства«</w:t>
      </w:r>
      <w:r>
        <w:rPr>
          <w:rFonts w:ascii="Times New Roman" w:hAnsi="Times New Roman" w:cs="Times New Roman"/>
          <w:sz w:val="28"/>
          <w:szCs w:val="28"/>
        </w:rPr>
        <w:t xml:space="preserve">Менський центр первинної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  <w:lang w:val="uk-UA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структури апарату Менської міської ради та її виконавчих органів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pBdr/>
        <w:spacing w:after="0" w:afterAutospacing="0" w:before="0" w:beforeAutospacing="0" w:line="240" w:lineRule="auto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Головуючий </w:t>
      </w:r>
      <w:r>
        <w:rPr>
          <w:sz w:val="28"/>
          <w:szCs w:val="28"/>
          <w:lang w:val="uk-UA"/>
        </w:rPr>
        <w:t xml:space="preserve">повідомив, що з</w:t>
      </w:r>
      <w:r>
        <w:rPr>
          <w:sz w:val="28"/>
          <w:szCs w:val="28"/>
        </w:rPr>
        <w:t xml:space="preserve"> метою забезпечення якісного виконання структурними підрозділами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Менської міської ради покладених на них завдань та функцій у відповідності 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вимог чинного законодавства, враховуючи рекомендації постійної комісії 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питань планування, фінансів, бюджету, соціально-економічного розвитку,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житлово-комунального господарства та </w:t>
      </w:r>
      <w:r>
        <w:rPr>
          <w:sz w:val="28"/>
          <w:szCs w:val="28"/>
        </w:rPr>
        <w:t xml:space="preserve">комунального майна,</w:t>
      </w:r>
      <w:r>
        <w:rPr>
          <w:sz w:val="28"/>
          <w:szCs w:val="28"/>
          <w:lang w:val="uk-UA"/>
        </w:rPr>
        <w:t xml:space="preserve"> пропонується внести зміни до структури, затвердити структуру апарату, структуру виконавчих органів міської ради згідно окремих додатків.</w:t>
      </w:r>
      <w:r>
        <w:rPr>
          <w:sz w:val="28"/>
          <w:szCs w:val="28"/>
          <w:lang w:val="uk-UA"/>
        </w:rPr>
      </w:r>
    </w:p>
    <w:p>
      <w:pPr>
        <w:pStyle w:val="908"/>
        <w:pBdr/>
        <w:spacing w:after="0" w:afterAutospacing="0" w:before="0" w:beforeAutospacing="0" w:line="240" w:lineRule="auto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</w:t>
      </w:r>
      <w:r>
        <w:rPr>
          <w:sz w:val="28"/>
          <w:szCs w:val="28"/>
          <w:lang w:val="uk-UA"/>
        </w:rPr>
      </w:r>
    </w:p>
    <w:p>
      <w:pPr>
        <w:pStyle w:val="908"/>
        <w:pBdr/>
        <w:spacing w:after="0" w:afterAutospacing="0" w:before="0" w:beforeAutospacing="0" w:line="240" w:lineRule="auto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Чепурко С.О.</w:t>
      </w:r>
      <w:r>
        <w:rPr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</w:rPr>
        <w:t xml:space="preserve">запитав, чи є у депутатів запитання, зауваження, доповнення до проєкту рішення. Враховуючи, що проєкт рішення був розглянутий на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постійних депутатських комісій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4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структури апарату Менської міської ради та її виконавчих органів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Програми підвищення обороноздатності та безпеки населених пунктів Менської міської територіальної громади в умовах  на 2025 рік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Марцева Т.І., Стальниченко Ю.В., Нерослик А.П.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повідомив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проєкт рішення був розглянутий на спільному засіданні постійних депутатських комісій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планування, фінансів, бюджету, соціально-економічного розвитку, житлово-комунального господарства та комунального майна та з питань регламенту, етики, законності та правопорядку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підтриманий депутатами з рекомендаціями та технічними правками.</w:t>
      </w:r>
      <w:r>
        <w:rPr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- 1,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75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Програми підвищення обороноздатності та безпеки населених пунктів Менської міської територіальної громади в умовах  на 2025 рік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Програми розвитку цивільного захисту Менської міської територіальної громади на 2025-2027 роки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спільному засіданні постійних депутатських комісій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планування, фінансів,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бюджету, соціально-економічного розвитку, житлово-комунального господарства та комунального майна та з питань регламенту, етики, законності та правопорядку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надходило, головуючий поставив на голосування даний проєкт рішення.</w:t>
      </w:r>
      <w:r/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6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Програми розвитку цивільного захисту Менської міської територіальної громади на 2025-2027 роки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бюджету Менської міської територіальної громади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Нерослик А.П. про виконання бюджету Менської міської територіальної громади за 2024 рік (доповідь додається).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доповідача</w:t>
      </w:r>
      <w:r>
        <w:rPr>
          <w:rFonts w:ascii="Times New Roman" w:hAnsi="Times New Roman" w:cs="Times New Roman"/>
          <w:sz w:val="28"/>
          <w:szCs w:val="28"/>
        </w:rPr>
        <w:t xml:space="preserve">. Враховуючи,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запитань,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7 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бюджету Менської міської територіальної громади за 2024 рік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8.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організації харчування дітей в закладах загальної середньої освіти Менської міської ради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8 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організації харчування дітей в закладах загальної середньої освіти Менської міської ради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Положення про Почесну грамоту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Стальниченко Ю.В. повідомив, що пропонується внести зміни до Положення про Почесну грамоту Менської міської ради з урахуванням збільшення військового збору, збільшується сума грошової винагороди.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спільному засіданні постійних депутатських комісій,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9 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Положення про Почесну грамоту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вшанування громадян Менської міської територіальної громади Почесними відзнаками Менської міської ради на 2022-2024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спільному засіданні постійних депутатських комісій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планування, фінансів, бюджету, соціально-економічного розвитку, житлово-комунального господарства та комунального майна та з питань регламенту, етики, законності та правопорядку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0 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вшанування громадян Менської міської територіальної громади Почесними відзнаками Менської міської ради на 2022-2024 роки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утворення інклюзивної групи у Менському закладі дошкільної освіти (яслах-садку) «Сонечко»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</w:t>
      </w:r>
      <w:r>
        <w:rPr>
          <w:rFonts w:ascii="Times New Roman" w:hAnsi="Times New Roman" w:cs="Times New Roman"/>
          <w:sz w:val="28"/>
          <w:szCs w:val="28"/>
        </w:rPr>
        <w:t xml:space="preserve">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1 «</w:t>
      </w:r>
      <w:r>
        <w:rPr>
          <w:rFonts w:ascii="Times New Roman" w:hAnsi="Times New Roman" w:cs="Times New Roman"/>
          <w:sz w:val="28"/>
          <w:szCs w:val="28"/>
        </w:rPr>
        <w:t xml:space="preserve">Про утворення інклюзивної групи у Менському закладі дошкільної освіти (яслах-садку) «Сонечко»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 зміну місцезнаходження Комунального закладу позашкільної освіти Менської дитячо-юнацької спортивної школи Менської міської ради ради та затвердження Статуту (у новій редакції)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</w:t>
      </w:r>
      <w:r>
        <w:rPr>
          <w:rFonts w:ascii="Times New Roman" w:hAnsi="Times New Roman" w:cs="Times New Roman"/>
          <w:sz w:val="28"/>
          <w:szCs w:val="28"/>
        </w:rPr>
        <w:t xml:space="preserve">проєкт рішення був розглянутий </w:t>
      </w:r>
      <w:r>
        <w:rPr>
          <w:rFonts w:ascii="Times New Roman" w:hAnsi="Times New Roman" w:cs="Times New Roman"/>
          <w:sz w:val="28"/>
          <w:szCs w:val="28"/>
        </w:rPr>
        <w:t xml:space="preserve">на 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82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зміну місцезнаходження Комунального закладу позашкільної освіти Менської дитячо-юнацької спортивної школи Менської міської ради ради та затвердження Статуту (у новій редакції)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структури КУ «Менський територіальний центр </w:t>
      </w:r>
      <w:r>
        <w:rPr>
          <w:rFonts w:ascii="Times New Roman" w:hAnsi="Times New Roman" w:cs="Times New Roman"/>
          <w:sz w:val="28"/>
          <w:szCs w:val="28"/>
        </w:rPr>
        <w:t xml:space="preserve">НСП» в</w:t>
      </w:r>
      <w:r>
        <w:rPr>
          <w:rFonts w:ascii="Times New Roman" w:hAnsi="Times New Roman" w:cs="Times New Roman"/>
          <w:sz w:val="28"/>
          <w:szCs w:val="28"/>
        </w:rPr>
        <w:t xml:space="preserve">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засіданні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</w:t>
      </w:r>
      <w:r>
        <w:rPr>
          <w:rFonts w:ascii="Times New Roman" w:hAnsi="Times New Roman" w:cs="Times New Roman"/>
          <w:sz w:val="28"/>
          <w:szCs w:val="28"/>
        </w:rPr>
        <w:t xml:space="preserve"> 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</w:t>
      </w:r>
      <w:r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3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структури КУ «Менський територіальний центр </w:t>
      </w:r>
      <w:r>
        <w:rPr>
          <w:rFonts w:ascii="Times New Roman" w:hAnsi="Times New Roman" w:cs="Times New Roman"/>
          <w:sz w:val="28"/>
          <w:szCs w:val="28"/>
        </w:rPr>
        <w:t xml:space="preserve">НСП» в</w:t>
      </w:r>
      <w:r>
        <w:rPr>
          <w:rFonts w:ascii="Times New Roman" w:hAnsi="Times New Roman" w:cs="Times New Roman"/>
          <w:sz w:val="28"/>
          <w:szCs w:val="28"/>
        </w:rPr>
        <w:t xml:space="preserve">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розвитку позашкільної освіти </w:t>
      </w:r>
      <w:r>
        <w:rPr>
          <w:rFonts w:ascii="Times New Roman" w:hAnsi="Times New Roman" w:cs="Times New Roman"/>
          <w:sz w:val="28"/>
          <w:szCs w:val="28"/>
        </w:rPr>
        <w:t xml:space="preserve">на 2022</w:t>
      </w:r>
      <w:r>
        <w:rPr>
          <w:rFonts w:ascii="Times New Roman" w:hAnsi="Times New Roman" w:cs="Times New Roman"/>
          <w:sz w:val="28"/>
          <w:szCs w:val="28"/>
        </w:rPr>
        <w:t xml:space="preserve">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4 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розвитку позашкільної освіти </w:t>
      </w:r>
      <w:r>
        <w:rPr>
          <w:rFonts w:ascii="Times New Roman" w:hAnsi="Times New Roman" w:cs="Times New Roman"/>
          <w:sz w:val="28"/>
          <w:szCs w:val="28"/>
        </w:rPr>
        <w:t xml:space="preserve">на 2022</w:t>
      </w:r>
      <w:r>
        <w:rPr>
          <w:rFonts w:ascii="Times New Roman" w:hAnsi="Times New Roman" w:cs="Times New Roman"/>
          <w:sz w:val="28"/>
          <w:szCs w:val="28"/>
        </w:rPr>
        <w:t xml:space="preserve">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надання одноразової допомоги дітям-сиротам і дітям, позбавленим батьківського піклування, після досягнення 18-річного віку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5 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надання одноразової допомоги дітям-сиротам і дітям, позбавленим батьківського піклування, після досягнення 18-річного віку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організації харчування дітей </w:t>
      </w:r>
      <w:r>
        <w:rPr>
          <w:rFonts w:ascii="Times New Roman" w:hAnsi="Times New Roman" w:cs="Times New Roman"/>
          <w:sz w:val="28"/>
          <w:szCs w:val="28"/>
        </w:rPr>
        <w:t xml:space="preserve">у закладах</w:t>
      </w:r>
      <w:r>
        <w:rPr>
          <w:rFonts w:ascii="Times New Roman" w:hAnsi="Times New Roman" w:cs="Times New Roman"/>
          <w:sz w:val="28"/>
          <w:szCs w:val="28"/>
        </w:rPr>
        <w:t xml:space="preserve"> загальної середньої освіти Менської міської ради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6 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організації харчування дітей у закладах загальної середньої освіти Менської міської ради на 2022-2024 роки за 2024 </w:t>
      </w:r>
      <w:r>
        <w:rPr>
          <w:rFonts w:ascii="Times New Roman" w:hAnsi="Times New Roman" w:cs="Times New Roman"/>
          <w:sz w:val="28"/>
          <w:szCs w:val="28"/>
        </w:rPr>
        <w:t xml:space="preserve">рік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ПРИЙНЯТО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національно-патріотичного виховання на 2022 – 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7 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національно-патріотичного виховання на 2022 – 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оздоровлення та літнього відпочинку дітей «Різнобарвне літо»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8 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оздоровлення та літнього відпочинку дітей «Різнобарвне літо»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підтримки та розвитку обдарованої учнівської молоді та творчих </w:t>
      </w:r>
      <w:r>
        <w:rPr>
          <w:rFonts w:ascii="Times New Roman" w:hAnsi="Times New Roman" w:cs="Times New Roman"/>
          <w:sz w:val="28"/>
          <w:szCs w:val="28"/>
        </w:rPr>
        <w:t xml:space="preserve">педагогів на</w:t>
      </w:r>
      <w:r>
        <w:rPr>
          <w:rFonts w:ascii="Times New Roman" w:hAnsi="Times New Roman" w:cs="Times New Roman"/>
          <w:sz w:val="28"/>
          <w:szCs w:val="28"/>
        </w:rPr>
        <w:t xml:space="preserve"> 2022 – 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</w:t>
      </w:r>
      <w:r>
        <w:rPr>
          <w:rFonts w:ascii="Times New Roman" w:hAnsi="Times New Roman" w:cs="Times New Roman"/>
          <w:sz w:val="28"/>
          <w:szCs w:val="28"/>
        </w:rPr>
        <w:t xml:space="preserve">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9 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підтримки та розвитку обдарованої учнівської молоді та творчих </w:t>
      </w:r>
      <w:r>
        <w:rPr>
          <w:rFonts w:ascii="Times New Roman" w:hAnsi="Times New Roman" w:cs="Times New Roman"/>
          <w:sz w:val="28"/>
          <w:szCs w:val="28"/>
        </w:rPr>
        <w:t xml:space="preserve">педагогів на</w:t>
      </w:r>
      <w:r>
        <w:rPr>
          <w:rFonts w:ascii="Times New Roman" w:hAnsi="Times New Roman" w:cs="Times New Roman"/>
          <w:sz w:val="28"/>
          <w:szCs w:val="28"/>
        </w:rPr>
        <w:t xml:space="preserve"> 2022 – 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організації харчування дітей в закладах дошкільної освіти Менської міської ради на 2022-2024 роки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0 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організації харчування дітей в закладах дошкільної освіти Менської міської ради на 2022-2024 роки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підтримки та розвитку дитячих творчих колективів закладів культури Менської міської ради на 2022-2024 роки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звіт про виконання Програми підтримки та розвитку дитячих творчих колективів закладів культури Менської міської ради за 2024 рік заслухано на засіданні профільної комісії.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Враховуючи, що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1 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підтримки та розвитку дитячих творчих колективів закладів культури Менської міської ради на 2022-2024 роки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культурно-мистецьких заходів на 2022-2024 роки в новій редакції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2 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культурно-мистецьких заходів на 2022-2024 роки в новій редакції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розвитку культури Менської міської територіальної громади на 2022-2024 роки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3 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розвитку культури Менської міської територіальної громади на 2022-2024 роки за 12 місяців 2024 року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виконання програми</w:t>
      </w:r>
      <w:r>
        <w:rPr>
          <w:rFonts w:ascii="Times New Roman" w:hAnsi="Times New Roman" w:cs="Times New Roman"/>
          <w:sz w:val="28"/>
          <w:szCs w:val="28"/>
        </w:rPr>
        <w:t xml:space="preserve"> «Турбота про літніх людей»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4 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виконання програми</w:t>
      </w:r>
      <w:r>
        <w:rPr>
          <w:rFonts w:ascii="Times New Roman" w:hAnsi="Times New Roman" w:cs="Times New Roman"/>
          <w:sz w:val="28"/>
          <w:szCs w:val="28"/>
        </w:rPr>
        <w:t xml:space="preserve"> «Турбота про літніх людей» на 2022-2024 роки за 2024 рік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тарифів на платні послуги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5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тарифів на платні послуги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Киселівському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6 «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Киселівському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Блистівському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7 «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Блистівському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b/>
          <w:bCs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Синявському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8 «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Синявському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в оперативне управління Комунальному закладу позашкільної освіти «Менська дитячо-юнацька спортивна школа» Менської міської ради нерухомого майна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9 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в оперативне управління Комунальному закладу позашкільної освіти «Менська дитячо-юнацька спортивна школа» Менської міської ради нерухомого майна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Волосківській гімназії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0 «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Волосківській гімназії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Феськівській гімназії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1 «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Феськівській гімназії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Покровському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2 «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Покровському закладу загальної середньої освіти І-ІІІ ступенів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</w:t>
      </w:r>
      <w:r>
        <w:rPr>
          <w:rFonts w:ascii="Times New Roman" w:hAnsi="Times New Roman" w:cs="Times New Roman"/>
          <w:sz w:val="28"/>
          <w:szCs w:val="28"/>
        </w:rPr>
        <w:t xml:space="preserve">нальну власність Менської міської територіальної громади товарно-матеріальних цінностей з подальшою передачею в оперативне управління та на баланс Менському опорному закладу загальної середньої освіти І-ІІІ ступенів ім. Т. Г. Шевченка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3 «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в кому</w:t>
      </w:r>
      <w:r>
        <w:rPr>
          <w:rFonts w:ascii="Times New Roman" w:hAnsi="Times New Roman" w:cs="Times New Roman"/>
          <w:sz w:val="28"/>
          <w:szCs w:val="28"/>
        </w:rPr>
        <w:t xml:space="preserve">нальну власність Менської міської територіальної громади товарно-матеріальних цінностей з подальшою передачею в оперативне управління та на баланс Менському опорному закладу загальної середньої освіти І-ІІІ ступенів ім. Т. Г. Шевченка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майна в комунальну власність Менської міської територіальної громади та передачу його в оперативне управління і на баланс Відділу соціального захисту населення та охорони здоров'я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4 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майна в комунальну власність Менської міської територіальної громади та передачу його в оперативне управління і на баланс Відділу соціального захисту населення та охорони здоров'я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 перейменування провулку Григорія Кочура в місті Мена Чернігівської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5 «</w:t>
      </w:r>
      <w:r>
        <w:rPr>
          <w:rFonts w:ascii="Times New Roman" w:hAnsi="Times New Roman" w:cs="Times New Roman"/>
          <w:sz w:val="28"/>
          <w:szCs w:val="28"/>
        </w:rPr>
        <w:t xml:space="preserve">Про перейменування провулку Григорія Кочура в місті Мена Чернігівської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56 сесії Менської міської ради 8 скликання від 19 грудня 2024 року № 750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pBdr/>
        <w:spacing w:after="0" w:afterAutospacing="0" w:before="0" w:beforeAutospacing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Нерослик А.П., яка </w:t>
      </w:r>
      <w:r>
        <w:rPr>
          <w:sz w:val="28"/>
          <w:szCs w:val="28"/>
        </w:rPr>
        <w:t xml:space="preserve">за погодженням постійної комісії з питань планування,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фінансів, бюджету, соціально-економічного розвитку, житлово-комунального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господарства та комунального майна Менської міської ради та враховуючи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рекомендації інших комісій</w:t>
      </w:r>
      <w:r>
        <w:rPr>
          <w:sz w:val="28"/>
          <w:szCs w:val="28"/>
          <w:lang w:val="uk-UA"/>
        </w:rPr>
        <w:t xml:space="preserve">, запропонувала депутатам у</w:t>
      </w:r>
      <w:r>
        <w:rPr>
          <w:sz w:val="28"/>
          <w:szCs w:val="28"/>
        </w:rPr>
        <w:t xml:space="preserve">точнити перевиконання коштів загального фонду бюджету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Менської міської ради, станом на 01.02.2025 року в сумі 604175,00 грн. (згідно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висновку Фінансового управління № 2 від 13.02.2025 року), кошти направити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збільшення видаткової частини Менської міської ради, а саме:</w:t>
      </w:r>
      <w:r>
        <w:rPr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загального фонду Менської міської ради по апарату управління в частині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видатків на придбання предметів, матеріалів, обладнання та інвентарю на суму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90000,00 грн та на оплату послуг в сумі 180000,00 грн (на виконання програми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інформатизації Менської міської територіальної громади на 2025-2027 роки-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закупівля маршрутизаторів для старостинських округів та віддалених робочих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місць, проведення локальної мережі в приміщенні ЦНАП)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(КПКВК 0110150 КЕКВ 2210+90000,00 грн., КЕКВ 2240+180000,00 грн);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загального фонду Менської міської ради по іншій діяльності у сфері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державного управління на інші видатки в сумі 15875,00 грн. (на виконання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програми виконання рішень суду про стягнення коштів на 2024-2025 роки)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(КПКВК 0110180 КЕКВ 2800+15875,00 грн.);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загального фонду Менської міської ради по інших заходах громадського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порядку та безпеки в частині видатків на оплату послуг в сумі 180000,00 грн.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(на виконання програми профілактики правопорушень "Безпечна громада" на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2025-2027 роки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(КПКВК 0118230 КЕКВ 2240+180000,00 грн.);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загального фонду по заходах пов’язаних з поліпшення питної води,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відповідно до програми «Забезпечення питного водопостачання та заходів з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реалізації очищення стічних вод на території населених пунктів Менської міської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територіальної громади на 2025-2027 роки в частині видатків на оплату послуг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(крім комунальних) - 45000,00 грн. (15000,00 грн- для виконання топографічної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зйомки М 1:500 по об’єкту Реконструкція каналізаційної мережі від будинку №2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 будинку №6 по вул. Корольова в м.Мена, Чернігівської області; 30000,00 грн-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виконання топографічної зйомки М 1:500 по об’єкту Реконструкція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каналізаційної мережі від будинку №6 по вул. Корольова до вулиці Героїв АТО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м.Мена, Чернігівської області)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(КПКВК 0116040 КЕКВ 2240+45000,00 грн)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спеціального фонду по заходах пов’язаних з поліпшення питної води,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відповідно до програми «Забезпечення питного водопостачання та заходів з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реалізації очищення стічних вод на території населених пунктів Менської міської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територіальної громади на 2025-2027 роки в частині видатків в частині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придбання обладнання і предметів довгострокового користування в сумі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93300,00 грн. (для придбання насосу для свердловини №3 на території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центрального водозабору за адресою: м. Мена, вул. Чернігівський шлях, №7)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(КПКВК 0116040 КЕКВ 3110+93300,00 грн.).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запитав, чи є у депутатів запитання, зауваження, доповнення до проєкту рішення. Враховуючи, що проєкт рішення був </w:t>
      </w:r>
      <w:r>
        <w:rPr>
          <w:rFonts w:ascii="Times New Roman" w:hAnsi="Times New Roman" w:cs="Times New Roman"/>
          <w:sz w:val="28"/>
          <w:szCs w:val="28"/>
        </w:rPr>
        <w:t xml:space="preserve">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депутатських комісій: з питань планування, фінансів, бюджету, соціально-економічного розвитку, житлово-комунального господарства та комунального майна та з питань регламенту, етики, законності та 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6 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56 сесії Менської міської ради 8 скликання від 19 грудня 2024 року № 750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Статуту Комунального некомерційного підприємства «Менський центр первинної медико-санітарної допомоги» Менської міської ради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7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Статуту Комунального некомерційного підприємства «Менський центр первинної медико-санітарної допомоги» Менської міської ради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зменшення орендної ставки АТ «ОТКЕ»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депутатам пропонується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про зменшення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Акціонерному товариству «Облтеплокомуненерго» орендн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ставк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до 0,03 % від суми вартості орендованого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надавши пільгу по орендній платі строком з 01 </w:t>
      </w:r>
      <w:r>
        <w:rPr>
          <w:rFonts w:ascii="Times New Roman" w:hAnsi="Times New Roman" w:cs="Times New Roman"/>
          <w:sz w:val="28"/>
          <w:szCs w:val="28"/>
        </w:rPr>
        <w:t xml:space="preserve">січня 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роєкт рішення був розглянутий на </w:t>
      </w:r>
      <w:r>
        <w:rPr>
          <w:rFonts w:ascii="Times New Roman" w:hAnsi="Times New Roman" w:cs="Times New Roman"/>
          <w:sz w:val="28"/>
          <w:szCs w:val="28"/>
        </w:rPr>
        <w:t xml:space="preserve">спільному засіданні постійних деп</w:t>
      </w:r>
      <w:r>
        <w:rPr>
          <w:rFonts w:ascii="Times New Roman" w:hAnsi="Times New Roman" w:cs="Times New Roman"/>
          <w:sz w:val="28"/>
          <w:szCs w:val="28"/>
        </w:rPr>
        <w:t xml:space="preserve">утатських комісій.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Нерослик А.П., Палієнко Р.А., Гончар Н.В., Кравцов В.М., Стальниченко Ю.В.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питав, чи є у депутатів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>
        <w:rPr>
          <w:rFonts w:ascii="Times New Roman" w:hAnsi="Times New Roman" w:cs="Times New Roman"/>
          <w:sz w:val="28"/>
          <w:szCs w:val="28"/>
        </w:rPr>
        <w:t xml:space="preserve">запитання, зауваження, доповнення до проєкту рішення.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108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зменшення орендної ставки АТ «ОТКЕ»</w:t>
      </w:r>
      <w:r>
        <w:rPr>
          <w:rFonts w:ascii="Times New Roman" w:hAnsi="Times New Roman" w:cs="Times New Roman"/>
          <w:sz w:val="28"/>
          <w:szCs w:val="28"/>
        </w:rPr>
        <w:t xml:space="preserve">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Про визначення видів безоплатних суспільно корисних робіт та об’єктів, на яких неповнолітні засуджені будуть відбувати покарання у виді громадських робіт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</w:t>
      </w:r>
      <w:r>
        <w:rPr>
          <w:rFonts w:ascii="Times New Roman" w:hAnsi="Times New Roman" w:cs="Times New Roman"/>
          <w:sz w:val="28"/>
          <w:szCs w:val="28"/>
        </w:rPr>
        <w:t xml:space="preserve">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9 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визначення видів безоплатних суспільно корисних робіт та об’єктів, на яких неповнолітні засуджені будуть відбувати покарання у виді громадських робіт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визначення переліку об'єктів та видів оплачуваних робіт, на яких неповнолітні правопорушники зможуть виконувати стягнення </w:t>
      </w:r>
      <w:r>
        <w:rPr>
          <w:rFonts w:ascii="Times New Roman" w:hAnsi="Times New Roman" w:cs="Times New Roman"/>
          <w:sz w:val="28"/>
          <w:szCs w:val="28"/>
        </w:rPr>
        <w:t xml:space="preserve">у виді суспільно корисних робіт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0 «</w:t>
      </w:r>
      <w:r>
        <w:rPr>
          <w:rFonts w:ascii="Times New Roman" w:hAnsi="Times New Roman" w:cs="Times New Roman"/>
          <w:sz w:val="28"/>
          <w:szCs w:val="28"/>
        </w:rPr>
        <w:t xml:space="preserve">Про визначення переліку об'єктів та видів оплачуваних робіт, на яких неповнолітні правопорушники зможуть виконувати стягнення </w:t>
      </w:r>
      <w:r>
        <w:rPr>
          <w:rFonts w:ascii="Times New Roman" w:hAnsi="Times New Roman" w:cs="Times New Roman"/>
          <w:sz w:val="28"/>
          <w:szCs w:val="28"/>
        </w:rPr>
        <w:t xml:space="preserve">у виді суспільно корисних робіт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визначення видів безоплатних суспільно корисних робіт та об’єктів, на яких неповнолітні порушники будуть відбувати стягнення у виді громадських робіт на території населених пунктів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1 «</w:t>
      </w:r>
      <w:r>
        <w:rPr>
          <w:rFonts w:ascii="Times New Roman" w:hAnsi="Times New Roman" w:cs="Times New Roman"/>
          <w:sz w:val="28"/>
          <w:szCs w:val="28"/>
        </w:rPr>
        <w:t xml:space="preserve">Про визначення видів безоплатних суспільно корисних робіт та об’єктів, на яких неповнолітні порушники будуть відбувати стягнення у виді </w:t>
      </w:r>
      <w:r>
        <w:rPr>
          <w:rFonts w:ascii="Times New Roman" w:hAnsi="Times New Roman" w:cs="Times New Roman"/>
          <w:sz w:val="28"/>
          <w:szCs w:val="28"/>
        </w:rPr>
        <w:t xml:space="preserve">громадських робіт на території населених пунктів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</w: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майна в комунальну власність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112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майна в комунальну власність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 w:firstLine="709"/>
        <w:jc w:val="left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базової мережі закладів культури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підтриманий з урахуванням технічних правок,</w:t>
      </w:r>
      <w:r>
        <w:rPr>
          <w:rFonts w:ascii="Times New Roman" w:hAnsi="Times New Roman" w:cs="Times New Roman"/>
          <w:sz w:val="28"/>
          <w:szCs w:val="28"/>
        </w:rPr>
        <w:t xml:space="preserve"> головуючий поставив на голосування даний проєкт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технічними правками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базової мережі закладів культури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технічними правками </w:t>
      </w:r>
      <w:r>
        <w:rPr>
          <w:rFonts w:ascii="Times New Roman" w:hAnsi="Times New Roman" w:cs="Times New Roman"/>
          <w:sz w:val="28"/>
          <w:szCs w:val="28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</w:r>
      <w:r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з балансу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Стальниченко Ю.В., Нерослик А.П., Кравцов В.М., Скобєлєва В.М., Ющенко Г.Є.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підсумував, що думки депутатів розрізнились, а тому запропонував три прєкти рішення по даному питанню: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750"/>
        <w:numPr>
          <w:ilvl w:val="0"/>
          <w:numId w:val="5"/>
        </w:num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з балансу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Відділу культури Менської міської ради.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з балансу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Відділу культури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НЕ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</w:r>
      <w:r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r>
    </w:p>
    <w:p>
      <w:pPr>
        <w:pStyle w:val="750"/>
        <w:numPr>
          <w:ilvl w:val="0"/>
          <w:numId w:val="5"/>
        </w:num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з балансу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Менського краєзнавчого музею ім. В.Ф.Покотила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з балансу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Менського краєзнавчого музею ім. В.Ф.Покотила</w:t>
      </w:r>
      <w:r>
        <w:rPr>
          <w:rFonts w:ascii="Times New Roman" w:hAnsi="Times New Roman" w:cs="Times New Roman"/>
          <w:sz w:val="28"/>
          <w:szCs w:val="28"/>
        </w:rPr>
        <w:t xml:space="preserve">» НЕ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</w:r>
      <w:r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r>
    </w:p>
    <w:p>
      <w:pPr>
        <w:pStyle w:val="750"/>
        <w:numPr>
          <w:ilvl w:val="0"/>
          <w:numId w:val="5"/>
        </w:num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з балансу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КЗ «Менський будинок культури»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Менської міської ради.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з балансу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КЗ «Менський будинок культури»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НЕ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</w:r>
      <w:r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ТОВ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ГАРДЕНФИЛД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виготовлення технічної документації із землеустрою щодо встановлення (відновлення) меж земельних ділянок (невитребуваних паїв) з подальшою передачею в 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5 «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ТОВ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ГАРДЕНФИЛД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виготовлення технічної документації із землеустрою щодо встановлення (відновлення) меж земельних ділянок (невитребуваних паїв) з подальшою передачею в оренду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Про зміну координат земельної ділянки комунальної власності за межами с. Феськівка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6 «</w:t>
      </w:r>
      <w:r>
        <w:rPr>
          <w:rFonts w:ascii="Times New Roman" w:hAnsi="Times New Roman" w:cs="Times New Roman"/>
          <w:sz w:val="28"/>
          <w:szCs w:val="28"/>
        </w:rPr>
        <w:t xml:space="preserve">Про зміну координат земельної ділянки комунальної власності за межами с. Феськівка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ТОВ «БК ВОЛМАКС»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- 1,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7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ТОВ «БК ВОЛМАКС»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земельної ділянки в орендне користування ТОВ «Мена 2024»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8 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земельної ділянки в орендне користування ТОВ «Мена 2024»</w:t>
      </w:r>
      <w:r>
        <w:rPr>
          <w:rFonts w:ascii="Times New Roman" w:hAnsi="Times New Roman" w:cs="Times New Roman"/>
          <w:sz w:val="28"/>
          <w:szCs w:val="28"/>
        </w:rPr>
        <w:t xml:space="preserve">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Про виготовлення технічних документацій із землеустрою щодо інвентаризації земельних ділянок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9 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виготовлення технічних документацій із землеустрою щодо інвентаризації земельних ділянок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</w:r>
      <w:r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гр. Ковбасі Ю.В.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0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гр. Ковбасі Ю.В.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дозволів на виготовлення проєктів із землеустрою щодо відведення земельних ділянок на умовах оренди для городництва за межами м. Мена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1 «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дозволів на виготовлення проєктів із землеустрою щодо відведення земельних ділянок на умовах оренди для городництва за межами м. Мена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 проведення земельних торгів (аукціону)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проведення земельних торгів (аукціону)</w:t>
      </w:r>
      <w:r>
        <w:rPr>
          <w:rFonts w:ascii="Times New Roman" w:hAnsi="Times New Roman" w:cs="Times New Roman"/>
          <w:sz w:val="28"/>
          <w:szCs w:val="28"/>
        </w:rPr>
        <w:t xml:space="preserve">»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укладання договору оренди землі з ТОВ «ДП Зернятко» на новий строк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3 «</w:t>
      </w:r>
      <w:r>
        <w:rPr>
          <w:rFonts w:ascii="Times New Roman" w:hAnsi="Times New Roman" w:cs="Times New Roman"/>
          <w:sz w:val="28"/>
          <w:szCs w:val="28"/>
        </w:rPr>
        <w:t xml:space="preserve">Про укладання договору оренди землі з ТОВ «ДП Зернятко» на новий строк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на виготовлення технічної документацій щодо поділу земельної ділянки гр. Чулкову Ю.О.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Малієнко Р.А., Скирта О.В., Миц О.Л., Нерослик А.П., Скобєлєва В.М., Кравцов В.М.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4 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на виготовлення технічної документацій щодо поділу земельної ділянки гр. Чулкову Ю.О.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</w:r>
      <w:r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в оренду земельних ділянок ФГ «СВІТАНОК ЧЕРНІГІВЩИНИ»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pBdr/>
        <w:spacing w:after="0" w:afterAutospacing="0" w:before="0" w:beforeAutospacing="0" w:line="240" w:lineRule="auto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Скирту О.В. про звернення голови ФГ «СВІТАНОК ЧЕРНІГІВЩИНИ» М.В.Бредюка щодо зменшення </w:t>
      </w:r>
      <w:r>
        <w:rPr>
          <w:sz w:val="28"/>
          <w:szCs w:val="28"/>
        </w:rPr>
        <w:t xml:space="preserve">відсоткової ставки орендної плати до 4% від нормативної грошової оцінки в рік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(протягом наступних семи років), враховуючи дію в</w:t>
      </w:r>
      <w:r>
        <w:rPr>
          <w:sz w:val="28"/>
          <w:szCs w:val="28"/>
          <w:lang w:val="uk-UA"/>
        </w:rPr>
        <w:t xml:space="preserve">оєнного</w:t>
      </w:r>
      <w:r>
        <w:rPr>
          <w:sz w:val="28"/>
          <w:szCs w:val="28"/>
        </w:rPr>
        <w:t xml:space="preserve"> стану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території України та складніст</w:t>
      </w:r>
      <w:r>
        <w:rPr>
          <w:sz w:val="28"/>
          <w:szCs w:val="28"/>
          <w:lang w:val="uk-UA"/>
        </w:rPr>
        <w:t xml:space="preserve">ь</w:t>
      </w:r>
      <w:r>
        <w:rPr>
          <w:sz w:val="28"/>
          <w:szCs w:val="28"/>
        </w:rPr>
        <w:t xml:space="preserve"> здійснення господарської діяльності через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відсутність кваліфікованих працівників</w:t>
      </w:r>
      <w:r>
        <w:rPr>
          <w:sz w:val="28"/>
          <w:szCs w:val="28"/>
          <w:lang w:val="uk-UA"/>
        </w:rPr>
        <w:t xml:space="preserve">. П</w:t>
      </w:r>
      <w:r>
        <w:rPr>
          <w:sz w:val="28"/>
          <w:szCs w:val="28"/>
          <w:lang w:val="uk-UA"/>
        </w:rPr>
        <w:t xml:space="preserve">роєкт рішення був розглянутий на </w:t>
      </w:r>
      <w:r>
        <w:rPr>
          <w:sz w:val="28"/>
          <w:szCs w:val="28"/>
          <w:lang w:val="uk-UA"/>
        </w:rPr>
        <w:t xml:space="preserve">засіданні </w:t>
      </w:r>
      <w:r>
        <w:rPr>
          <w:sz w:val="28"/>
          <w:szCs w:val="28"/>
          <w:lang w:val="uk-UA"/>
        </w:rPr>
        <w:t xml:space="preserve">п</w:t>
      </w:r>
      <w:r>
        <w:rPr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sz w:val="28"/>
          <w:szCs w:val="28"/>
          <w:lang w:val="uk-UA"/>
        </w:rPr>
        <w:t xml:space="preserve"> та на спільному засіданні постійних депутатських комісій, де були надані рекомендації щодо зміни строку дії зменшеної відсоткової ставки (протягом 1 року).</w:t>
      </w:r>
      <w:r>
        <w:rPr>
          <w:sz w:val="28"/>
          <w:szCs w:val="28"/>
          <w:lang w:val="uk-UA"/>
        </w:rPr>
      </w:r>
    </w:p>
    <w:p>
      <w:pPr>
        <w:pStyle w:val="908"/>
        <w:pBdr/>
        <w:spacing w:after="0" w:afterAutospacing="0" w:before="0" w:beforeAutospacing="0" w:line="240" w:lineRule="auto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</w:t>
      </w:r>
      <w:r>
        <w:rPr>
          <w:sz w:val="28"/>
          <w:szCs w:val="28"/>
          <w:lang w:val="uk-UA"/>
        </w:rPr>
      </w:r>
    </w:p>
    <w:p>
      <w:pPr>
        <w:pStyle w:val="908"/>
        <w:pBdr/>
        <w:spacing w:after="0" w:afterAutospacing="0" w:before="0" w:beforeAutospacing="0" w:line="240" w:lineRule="auto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Бредюк М.В., Стальниченко Ю.В., Скобєлєва В.М., Миц О.Л., Кравцов В.М.</w:t>
      </w:r>
      <w:r>
        <w:rPr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>
        <w:rPr>
          <w:rFonts w:ascii="Times New Roman" w:hAnsi="Times New Roman" w:cs="Times New Roman"/>
          <w:sz w:val="28"/>
          <w:szCs w:val="28"/>
        </w:rPr>
        <w:t xml:space="preserve">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внесені рекомендації, </w:t>
      </w: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5 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в оренду земельних ділянок ФГ «СВІТАНОК ЧЕРНІГІВЩИНИ»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</w:r>
      <w:r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припинення права тимчасового користування ТОВ «Мена-Авангард» невитребуваними земельними ділянками (паями) за межами селища Макошине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6 «</w:t>
      </w:r>
      <w:r>
        <w:rPr>
          <w:rFonts w:ascii="Times New Roman" w:hAnsi="Times New Roman" w:cs="Times New Roman"/>
          <w:sz w:val="28"/>
          <w:szCs w:val="28"/>
        </w:rPr>
        <w:t xml:space="preserve">Про припинення права тимчасового користування ТОВ «Мена-Авангард» невитребуваними земельними ділянками (паями) за межами селища Макошине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припинення права тимчасового користування ТОВ «Мена-Авангард» невитребуваними земельними ділянками (паями) за межами м. Мена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7 «</w:t>
      </w:r>
      <w:r>
        <w:rPr>
          <w:rFonts w:ascii="Times New Roman" w:hAnsi="Times New Roman" w:cs="Times New Roman"/>
          <w:sz w:val="28"/>
          <w:szCs w:val="28"/>
        </w:rPr>
        <w:t xml:space="preserve">Про припинення права тимчасового користування ТОВ «Мена-Авангард» невитребуваними земельними ділянками (паями) за межами м. Мена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до договору</w:t>
      </w:r>
      <w:r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8 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до договору</w:t>
      </w:r>
      <w:r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Про виготовлення проекту землеустрою щодо відведення земельної ділянки зі зміною цільового призначення ТОВ «Агроресурс-2006»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9 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виготовлення проекту землеустрою щодо відведення земельної ділянки зі зміною цільового п</w:t>
      </w:r>
      <w:r>
        <w:rPr>
          <w:rFonts w:ascii="Times New Roman" w:hAnsi="Times New Roman" w:cs="Times New Roman"/>
          <w:sz w:val="28"/>
          <w:szCs w:val="28"/>
        </w:rPr>
        <w:t xml:space="preserve">ризначення ТОВ «Агроресурс-2006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</w:r>
      <w:r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технічних документацій із землеустрою щодо встановлення (відновлення) меж земельних ділянок в натурі для будівництва і </w:t>
      </w:r>
      <w:r>
        <w:rPr>
          <w:rFonts w:ascii="Times New Roman" w:hAnsi="Times New Roman" w:cs="Times New Roman"/>
          <w:sz w:val="28"/>
          <w:szCs w:val="28"/>
        </w:rPr>
        <w:t xml:space="preserve">обслуговування житлового будинку, господарських будівель і споруд на території Менської міської територіальної громади.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на виготовлення проекту землеустрою щодо відведення земельної ділянки з метою передачі в оренду ФГ «Погребний»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1 «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на виготовлення проекту землеустрою щодо відведення земельної ділянки з метою передачі в оренду ФГ «Погребний»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132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земельної ділянки комунальної власності в державну власність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3 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земельної ділянки комунальної власності в державну власність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 припинення права тимчасового користування ТОВ «Мена-Авангард» невитребуваними земельними ділянками (паями) за межами с. Дягова.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припинення права тимчасового користування ТОВ «Мена-Авангард» невитребуваними земельними ділянками (паями) за межами с. Дягова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</w:r>
      <w:r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документації із землеустрою та передачу в постійне користування Менському районному дочірньому агролісогосподарському підприємству «Менарайагролісництво»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5 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документації із землеустрою та передачу в постійне користування Менському районному дочірньому агролісогосподарському підприємству «Менарайагролісництво»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</w:r>
      <w:r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до договору</w:t>
      </w:r>
      <w:r>
        <w:rPr>
          <w:rFonts w:ascii="Times New Roman" w:hAnsi="Times New Roman" w:cs="Times New Roman"/>
          <w:sz w:val="28"/>
          <w:szCs w:val="28"/>
        </w:rPr>
        <w:t xml:space="preserve"> оренди землі на земельну ділянку в м. Мена, вул. Армійська, 1д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6 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до договору</w:t>
      </w:r>
      <w:r>
        <w:rPr>
          <w:rFonts w:ascii="Times New Roman" w:hAnsi="Times New Roman" w:cs="Times New Roman"/>
          <w:sz w:val="28"/>
          <w:szCs w:val="28"/>
        </w:rPr>
        <w:t xml:space="preserve"> оренди землі на земельну ділянку в м. Мена, вул. Армійська, 1д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Щодо надання дозволу на виготовлення документації із землеустрою з метою передачі в 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7 «</w:t>
      </w:r>
      <w:r>
        <w:rPr>
          <w:rFonts w:ascii="Times New Roman" w:hAnsi="Times New Roman" w:cs="Times New Roman"/>
          <w:sz w:val="28"/>
          <w:szCs w:val="28"/>
        </w:rPr>
        <w:t xml:space="preserve">Щодо надання дозволу на виготовлення документації із землеустрою з метою передачі в оренду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 </w:t>
      </w:r>
      <w:r>
        <w:rPr>
          <w:rFonts w:ascii="Times New Roman" w:hAnsi="Times New Roman" w:cs="Times New Roman"/>
          <w:sz w:val="16"/>
          <w:szCs w:val="16"/>
          <w:vertAlign w:val="subscript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зміну загальної чисельності працівників КЗ «Центр культури та дозвілля молоді»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Стальниченка Ю.В. про </w:t>
      </w:r>
      <w:r>
        <w:rPr>
          <w:rFonts w:ascii="Times New Roman" w:hAnsi="Times New Roman" w:cs="Times New Roman"/>
          <w:sz w:val="28"/>
          <w:szCs w:val="28"/>
        </w:rPr>
        <w:t xml:space="preserve">зміну загальної чисельності працівників КЗ «Центр культури та дозвілля молоді»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безперешкодного та цілодобового доступу населення до об’єкту фонду захисних споруд цивільного захисту.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Нерослик А.П., Невжинська О.Г. щодо доцільност зміни </w:t>
      </w:r>
      <w:r>
        <w:rPr>
          <w:rFonts w:ascii="Times New Roman" w:hAnsi="Times New Roman" w:cs="Times New Roman"/>
          <w:sz w:val="28"/>
          <w:szCs w:val="28"/>
        </w:rPr>
        <w:t xml:space="preserve">загальної чисельності працівників КЗ «Центр культури та дозвілля молоді»</w:t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пошуку альтернативних варіанітв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безперешкодного та цілодобового доступу населення до об’єкту фонду захисних споруд цивільного захисту</w:t>
      </w:r>
      <w:r/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зміну загальної чисельності працівників КЗ «Центр культури та дозвілля молоді»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</w:r>
      <w:r>
        <w:rPr>
          <w:rFonts w:ascii="Times New Roman" w:hAnsi="Times New Roman" w:cs="Times New Roman"/>
          <w:sz w:val="16"/>
          <w:szCs w:val="16"/>
          <w:vertAlign w:val="subscript"/>
          <w14:ligatures w14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 питання, які включені </w:t>
      </w:r>
      <w:r>
        <w:rPr>
          <w:rFonts w:ascii="Times New Roman" w:hAnsi="Times New Roman" w:cs="Times New Roman"/>
          <w:sz w:val="28"/>
          <w:szCs w:val="28"/>
        </w:rPr>
        <w:t xml:space="preserve">до порядку</w:t>
      </w:r>
      <w:r>
        <w:rPr>
          <w:rFonts w:ascii="Times New Roman" w:hAnsi="Times New Roman" w:cs="Times New Roman"/>
          <w:sz w:val="28"/>
          <w:szCs w:val="28"/>
        </w:rPr>
        <w:t xml:space="preserve"> денного пленарного засідання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 - ї сесії Менської міської ради 8 скликання, розглянуті.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7089"/>
        </w:tabs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uk-UA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uk-UA"/>
        </w:rPr>
      </w:r>
    </w:p>
    <w:p>
      <w:pPr>
        <w:pBdr/>
        <w:tabs>
          <w:tab w:val="left" w:leader="none" w:pos="7089"/>
        </w:tabs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розділі «Різне»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7089"/>
        </w:tabs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Скирта О.В., начальник відділу земельних відносин, агропромислового комплексу та екології Менської міської ради, ознайомила депутатів з Вимогою Державної екологічної 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спекції у Чернігівській області від 21.01.2025 № 01/208 щодо приведення у відповідність із законодавством відповідно до проведеного аналізу у сфері охорони навколишнього середовища на території Чернігівської області. Депутати прийняли інформацію до відома.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val="uk-UA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нагадав депутатам, що відповідно до вимог чинного законодавства триває процес щорічного декларування доходів.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Кожен депутат зобов’язаний подати електронну декларацію про доходи, активи та фінансові зобов’язання за 2024 рік.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Кінцевий термін подання декларацій – 31 березня 2025 року.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Заклика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всіх відповідально поставитися до цього обов’язку та своєчасно подати декларації через офіційний портал НАЗК. У разі виникнення питань щодо процедури заповнення або технічних аспектів,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Юрій Валерійович нагадав про можливість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звернутися до відповідальних працівників ради або скористатися офіційними роз’ясненнями Національного агентства з питань запобігання корупції.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ч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ергов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пленан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засідання 59 сесії Менської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Cs/>
          <w:sz w:val="28"/>
          <w:szCs w:val="28"/>
        </w:rPr>
        <w:t xml:space="preserve">8 скликання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відповідно до затвердженого плану роботи заплановано на 20 березня 2025 року. Орієнтовний час початку 10:00.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uk-UA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оголосив закритим пленарне засідання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-ї сесії Менської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8 скликання.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ГІМН УКРАЇНИ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520"/>
        </w:tabs>
        <w:spacing w:after="0" w:afterAutospacing="0" w:before="74" w:before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tabs>
          <w:tab w:val="left" w:leader="none" w:pos="6520"/>
        </w:tabs>
        <w:spacing w:after="0" w:afterAutospacing="0" w:before="74" w:before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Юрій СТАЛЬНИЧЕНКО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h="16838" w:orient="portrait" w:w="11906"/>
      <w:pgMar w:top="1134" w:right="567" w:bottom="1134" w:left="1701" w:header="284" w:footer="270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61931770"/>
      <w:docPartObj>
        <w:docPartGallery w:val="Page Numbers (Top of Page)"/>
        <w:docPartUnique w:val="true"/>
      </w:docPartObj>
      <w:rPr/>
    </w:sdtPr>
    <w:sdtContent>
      <w:p>
        <w:pPr>
          <w:pStyle w:val="909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40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pBdr/>
      <w:spacing/>
      <w:ind/>
      <w:jc w:val="center"/>
      <w:rPr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909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/>
      <w:start w:val="1"/>
      <w:suff w:val="tab"/>
    </w:lvl>
  </w:abstractNum>
  <w:abstractNum w:abstractNumId="1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Arial" w:hAnsi="Arial" w:eastAsia="Arial" w:cs="Arial"/>
        <w:color w:val="292b2c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cs="Times New Roman" w:eastAsiaTheme="minorHAnsi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38"/>
    <w:link w:val="7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38"/>
    <w:link w:val="7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38"/>
    <w:link w:val="7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38"/>
    <w:link w:val="73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38"/>
    <w:link w:val="7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38"/>
    <w:link w:val="73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38"/>
    <w:link w:val="73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38"/>
    <w:link w:val="7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38"/>
    <w:link w:val="7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38"/>
    <w:link w:val="7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38"/>
    <w:link w:val="7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38"/>
    <w:link w:val="75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38"/>
    <w:link w:val="7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3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3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3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1">
    <w:name w:val="Footnote Text Char"/>
    <w:basedOn w:val="738"/>
    <w:link w:val="891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38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8" w:default="1">
    <w:name w:val="Normal"/>
    <w:qFormat/>
    <w:pPr>
      <w:pBdr/>
      <w:spacing/>
      <w:ind/>
    </w:pPr>
  </w:style>
  <w:style w:type="paragraph" w:styleId="729">
    <w:name w:val="Heading 1"/>
    <w:basedOn w:val="728"/>
    <w:next w:val="728"/>
    <w:link w:val="74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30">
    <w:name w:val="Heading 2"/>
    <w:basedOn w:val="728"/>
    <w:next w:val="728"/>
    <w:link w:val="74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31">
    <w:name w:val="Heading 3"/>
    <w:basedOn w:val="728"/>
    <w:next w:val="728"/>
    <w:link w:val="74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4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35">
    <w:name w:val="Heading 7"/>
    <w:basedOn w:val="728"/>
    <w:next w:val="728"/>
    <w:link w:val="74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36">
    <w:name w:val="Heading 8"/>
    <w:basedOn w:val="728"/>
    <w:next w:val="728"/>
    <w:link w:val="74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37">
    <w:name w:val="Heading 9"/>
    <w:basedOn w:val="728"/>
    <w:next w:val="728"/>
    <w:link w:val="74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  <w:pPr>
      <w:pBdr/>
      <w:spacing/>
      <w:ind/>
    </w:pPr>
  </w:style>
  <w:style w:type="table" w:styleId="73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0" w:default="1">
    <w:name w:val="No List"/>
    <w:uiPriority w:val="99"/>
    <w:semiHidden/>
    <w:unhideWhenUsed/>
    <w:pPr>
      <w:pBdr/>
      <w:spacing/>
      <w:ind/>
    </w:pPr>
  </w:style>
  <w:style w:type="character" w:styleId="741" w:customStyle="1">
    <w:name w:val="Заголовок 1 Знак"/>
    <w:basedOn w:val="738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basedOn w:val="738"/>
    <w:link w:val="73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43" w:customStyle="1">
    <w:name w:val="Заголовок 3 Знак"/>
    <w:basedOn w:val="738"/>
    <w:link w:val="73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basedOn w:val="738"/>
    <w:link w:val="73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basedOn w:val="738"/>
    <w:link w:val="73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basedOn w:val="738"/>
    <w:link w:val="73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basedOn w:val="738"/>
    <w:link w:val="73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38"/>
    <w:link w:val="73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basedOn w:val="738"/>
    <w:link w:val="73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728"/>
    <w:uiPriority w:val="34"/>
    <w:qFormat/>
    <w:pPr>
      <w:pBdr/>
      <w:spacing/>
      <w:ind w:left="720"/>
      <w:contextualSpacing w:val="true"/>
    </w:pPr>
  </w:style>
  <w:style w:type="paragraph" w:styleId="751">
    <w:name w:val="No Spacing"/>
    <w:uiPriority w:val="1"/>
    <w:qFormat/>
    <w:pPr>
      <w:pBdr/>
      <w:spacing w:after="0" w:line="240" w:lineRule="auto"/>
      <w:ind/>
    </w:pPr>
  </w:style>
  <w:style w:type="paragraph" w:styleId="752">
    <w:name w:val="Title"/>
    <w:basedOn w:val="728"/>
    <w:next w:val="728"/>
    <w:link w:val="75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3" w:customStyle="1">
    <w:name w:val="Заголовок Знак"/>
    <w:basedOn w:val="738"/>
    <w:link w:val="752"/>
    <w:uiPriority w:val="10"/>
    <w:pPr>
      <w:pBdr/>
      <w:spacing/>
      <w:ind/>
    </w:pPr>
    <w:rPr>
      <w:sz w:val="48"/>
      <w:szCs w:val="48"/>
    </w:rPr>
  </w:style>
  <w:style w:type="paragraph" w:styleId="754">
    <w:name w:val="Subtitle"/>
    <w:basedOn w:val="728"/>
    <w:next w:val="728"/>
    <w:link w:val="75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5" w:customStyle="1">
    <w:name w:val="Подзаголовок Знак"/>
    <w:basedOn w:val="738"/>
    <w:link w:val="754"/>
    <w:uiPriority w:val="11"/>
    <w:pPr>
      <w:pBdr/>
      <w:spacing/>
      <w:ind/>
    </w:pPr>
    <w:rPr>
      <w:sz w:val="24"/>
      <w:szCs w:val="24"/>
    </w:rPr>
  </w:style>
  <w:style w:type="paragraph" w:styleId="756">
    <w:name w:val="Quote"/>
    <w:basedOn w:val="728"/>
    <w:next w:val="728"/>
    <w:link w:val="757"/>
    <w:uiPriority w:val="29"/>
    <w:qFormat/>
    <w:pPr>
      <w:pBdr/>
      <w:spacing/>
      <w:ind w:right="720" w:left="720"/>
    </w:pPr>
    <w:rPr>
      <w:i/>
    </w:rPr>
  </w:style>
  <w:style w:type="character" w:styleId="757" w:customStyle="1">
    <w:name w:val="Цитата 2 Знак"/>
    <w:link w:val="756"/>
    <w:uiPriority w:val="29"/>
    <w:pPr>
      <w:pBdr/>
      <w:spacing/>
      <w:ind/>
    </w:pPr>
    <w:rPr>
      <w:i/>
    </w:rPr>
  </w:style>
  <w:style w:type="paragraph" w:styleId="758">
    <w:name w:val="Intense Quote"/>
    <w:basedOn w:val="728"/>
    <w:next w:val="728"/>
    <w:link w:val="75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9" w:customStyle="1">
    <w:name w:val="Выделенная цитата Знак"/>
    <w:link w:val="758"/>
    <w:uiPriority w:val="30"/>
    <w:pPr>
      <w:pBdr/>
      <w:spacing/>
      <w:ind/>
    </w:pPr>
    <w:rPr>
      <w:i/>
    </w:rPr>
  </w:style>
  <w:style w:type="character" w:styleId="760" w:customStyle="1">
    <w:name w:val="Header Char"/>
    <w:basedOn w:val="738"/>
    <w:uiPriority w:val="99"/>
    <w:pPr>
      <w:pBdr/>
      <w:spacing/>
      <w:ind/>
    </w:pPr>
  </w:style>
  <w:style w:type="character" w:styleId="761" w:customStyle="1">
    <w:name w:val="Footer Char"/>
    <w:basedOn w:val="738"/>
    <w:uiPriority w:val="99"/>
    <w:pPr>
      <w:pBdr/>
      <w:spacing/>
      <w:ind/>
    </w:pPr>
  </w:style>
  <w:style w:type="paragraph" w:styleId="762">
    <w:name w:val="Caption"/>
    <w:basedOn w:val="728"/>
    <w:next w:val="728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</w:rPr>
  </w:style>
  <w:style w:type="character" w:styleId="763" w:customStyle="1">
    <w:name w:val="Caption Char"/>
    <w:uiPriority w:val="99"/>
    <w:pPr>
      <w:pBdr/>
      <w:spacing/>
      <w:ind/>
    </w:pPr>
  </w:style>
  <w:style w:type="table" w:styleId="764">
    <w:name w:val="Table Grid"/>
    <w:basedOn w:val="73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Table Grid Light"/>
    <w:basedOn w:val="73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1"/>
    <w:basedOn w:val="73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2"/>
    <w:basedOn w:val="73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1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2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3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4 - Accent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4 - Accent 5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4 - Accent 6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5 Dark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4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4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4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5 Dark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1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2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3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ned - Accent 4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ned - Accent 5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ned - Accent 6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1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2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3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&amp; Lined - Accent 4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&amp; Lined - Accent 5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&amp; Lined - Accent 6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91">
    <w:name w:val="footnote text"/>
    <w:basedOn w:val="728"/>
    <w:link w:val="89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2" w:customStyle="1">
    <w:name w:val="Текст сноски Знак"/>
    <w:link w:val="891"/>
    <w:uiPriority w:val="99"/>
    <w:pPr>
      <w:pBdr/>
      <w:spacing/>
      <w:ind/>
    </w:pPr>
    <w:rPr>
      <w:sz w:val="18"/>
    </w:rPr>
  </w:style>
  <w:style w:type="character" w:styleId="893">
    <w:name w:val="footnote reference"/>
    <w:basedOn w:val="738"/>
    <w:uiPriority w:val="99"/>
    <w:unhideWhenUsed/>
    <w:pPr>
      <w:pBdr/>
      <w:spacing/>
      <w:ind/>
    </w:pPr>
    <w:rPr>
      <w:vertAlign w:val="superscript"/>
    </w:rPr>
  </w:style>
  <w:style w:type="paragraph" w:styleId="894">
    <w:name w:val="endnote text"/>
    <w:basedOn w:val="728"/>
    <w:link w:val="89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pPr>
      <w:pBdr/>
      <w:spacing/>
      <w:ind/>
    </w:pPr>
    <w:rPr>
      <w:sz w:val="20"/>
    </w:rPr>
  </w:style>
  <w:style w:type="character" w:styleId="896">
    <w:name w:val="endnote reference"/>
    <w:basedOn w:val="738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toc 1"/>
    <w:basedOn w:val="728"/>
    <w:next w:val="728"/>
    <w:uiPriority w:val="39"/>
    <w:unhideWhenUsed/>
    <w:pPr>
      <w:pBdr/>
      <w:spacing w:after="57"/>
      <w:ind/>
    </w:pPr>
  </w:style>
  <w:style w:type="paragraph" w:styleId="898">
    <w:name w:val="toc 2"/>
    <w:basedOn w:val="728"/>
    <w:next w:val="728"/>
    <w:uiPriority w:val="39"/>
    <w:unhideWhenUsed/>
    <w:pPr>
      <w:pBdr/>
      <w:spacing w:after="57"/>
      <w:ind w:left="283"/>
    </w:pPr>
  </w:style>
  <w:style w:type="paragraph" w:styleId="899">
    <w:name w:val="toc 3"/>
    <w:basedOn w:val="728"/>
    <w:next w:val="728"/>
    <w:uiPriority w:val="39"/>
    <w:unhideWhenUsed/>
    <w:pPr>
      <w:pBdr/>
      <w:spacing w:after="57"/>
      <w:ind w:left="567"/>
    </w:pPr>
  </w:style>
  <w:style w:type="paragraph" w:styleId="900">
    <w:name w:val="toc 4"/>
    <w:basedOn w:val="728"/>
    <w:next w:val="728"/>
    <w:uiPriority w:val="39"/>
    <w:unhideWhenUsed/>
    <w:pPr>
      <w:pBdr/>
      <w:spacing w:after="57"/>
      <w:ind w:left="850"/>
    </w:pPr>
  </w:style>
  <w:style w:type="paragraph" w:styleId="901">
    <w:name w:val="toc 5"/>
    <w:basedOn w:val="728"/>
    <w:next w:val="728"/>
    <w:uiPriority w:val="39"/>
    <w:unhideWhenUsed/>
    <w:pPr>
      <w:pBdr/>
      <w:spacing w:after="57"/>
      <w:ind w:left="1134"/>
    </w:pPr>
  </w:style>
  <w:style w:type="paragraph" w:styleId="902">
    <w:name w:val="toc 6"/>
    <w:basedOn w:val="728"/>
    <w:next w:val="728"/>
    <w:uiPriority w:val="39"/>
    <w:unhideWhenUsed/>
    <w:pPr>
      <w:pBdr/>
      <w:spacing w:after="57"/>
      <w:ind w:left="1417"/>
    </w:pPr>
  </w:style>
  <w:style w:type="paragraph" w:styleId="903">
    <w:name w:val="toc 7"/>
    <w:basedOn w:val="728"/>
    <w:next w:val="728"/>
    <w:uiPriority w:val="39"/>
    <w:unhideWhenUsed/>
    <w:pPr>
      <w:pBdr/>
      <w:spacing w:after="57"/>
      <w:ind w:left="1701"/>
    </w:pPr>
  </w:style>
  <w:style w:type="paragraph" w:styleId="904">
    <w:name w:val="toc 8"/>
    <w:basedOn w:val="728"/>
    <w:next w:val="728"/>
    <w:uiPriority w:val="39"/>
    <w:unhideWhenUsed/>
    <w:pPr>
      <w:pBdr/>
      <w:spacing w:after="57"/>
      <w:ind w:left="1984"/>
    </w:pPr>
  </w:style>
  <w:style w:type="paragraph" w:styleId="905">
    <w:name w:val="toc 9"/>
    <w:basedOn w:val="728"/>
    <w:next w:val="728"/>
    <w:uiPriority w:val="39"/>
    <w:unhideWhenUsed/>
    <w:pPr>
      <w:pBdr/>
      <w:spacing w:after="57"/>
      <w:ind w:left="2268"/>
    </w:pPr>
  </w:style>
  <w:style w:type="paragraph" w:styleId="906">
    <w:name w:val="TOC Heading"/>
    <w:uiPriority w:val="39"/>
    <w:unhideWhenUsed/>
    <w:pPr>
      <w:pBdr/>
      <w:spacing/>
      <w:ind/>
    </w:pPr>
  </w:style>
  <w:style w:type="paragraph" w:styleId="907">
    <w:name w:val="table of figures"/>
    <w:basedOn w:val="728"/>
    <w:next w:val="728"/>
    <w:uiPriority w:val="99"/>
    <w:unhideWhenUsed/>
    <w:pPr>
      <w:pBdr/>
      <w:spacing w:after="0"/>
      <w:ind/>
    </w:pPr>
  </w:style>
  <w:style w:type="paragraph" w:styleId="908">
    <w:name w:val="Normal (Web)"/>
    <w:basedOn w:val="728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9">
    <w:name w:val="Header"/>
    <w:basedOn w:val="728"/>
    <w:link w:val="91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0" w:customStyle="1">
    <w:name w:val="Верхний колонтитул Знак"/>
    <w:basedOn w:val="738"/>
    <w:link w:val="909"/>
    <w:uiPriority w:val="99"/>
    <w:pPr>
      <w:pBdr/>
      <w:spacing/>
      <w:ind/>
    </w:pPr>
  </w:style>
  <w:style w:type="paragraph" w:styleId="911">
    <w:name w:val="Footer"/>
    <w:basedOn w:val="728"/>
    <w:link w:val="91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2" w:customStyle="1">
    <w:name w:val="Нижний колонтитул Знак"/>
    <w:basedOn w:val="738"/>
    <w:link w:val="911"/>
    <w:uiPriority w:val="99"/>
    <w:pPr>
      <w:pBdr/>
      <w:spacing/>
      <w:ind/>
    </w:pPr>
  </w:style>
  <w:style w:type="character" w:styleId="913" w:customStyle="1">
    <w:name w:val="docdata"/>
    <w:basedOn w:val="738"/>
    <w:pPr>
      <w:pBdr/>
      <w:spacing/>
      <w:ind/>
    </w:pPr>
  </w:style>
  <w:style w:type="paragraph" w:styleId="914" w:customStyle="1">
    <w:name w:val="5873"/>
    <w:basedOn w:val="72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3099"/>
    <w:basedOn w:val="72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44F3D7A0-2B86-4C9D-8C9D-5671D0638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СТАЛЬНИЧЕНКО Юрій Валерійович</cp:lastModifiedBy>
  <cp:revision>11</cp:revision>
  <dcterms:created xsi:type="dcterms:W3CDTF">2025-02-24T08:18:00Z</dcterms:created>
  <dcterms:modified xsi:type="dcterms:W3CDTF">2025-03-01T09:59:10Z</dcterms:modified>
</cp:coreProperties>
</file>